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Final results of MLI frequentanti after second Esonero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(May 2020)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1903588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1899302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1904429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1905402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198354 Sufficiente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1901011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1908453 Sufficiente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1856229 Eccelente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1914583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1915606 Sufficiente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1899399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1914318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1906174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1908294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1896439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1898988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1875879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1860808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1896818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1911924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1912564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1892689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1861826 Eccellente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1914530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1847088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1906502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1912910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1859401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1916069 Buono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1909920 Sufficiente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1896747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1908999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1854245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1893367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1814781 Sufficiente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1913226 Buono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</w:rPr>
        <w:t>1899309 Eccellente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1799454 Ottimo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1903511 Discreto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de-DE"/>
        </w:rPr>
        <w:t>1794389 Discreto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Fonts w:ascii="Helvetica" w:cs="Arial Unicode MS" w:hAnsi="Arial Unicode MS" w:eastAsia="Arial Unicode MS"/>
          <w:rtl w:val="0"/>
          <w:lang w:val="it-IT"/>
        </w:rPr>
        <w:t>1904799 Ottimo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