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360" w:lineRule="auto"/>
        <w:jc w:val="both"/>
        <w:rPr>
          <w:rFonts w:ascii="Garamond" w:cs="Garamond" w:hAnsi="Garamond" w:eastAsia="Garamond"/>
          <w:sz w:val="24"/>
          <w:szCs w:val="24"/>
          <w:lang w:val="it-IT"/>
        </w:rPr>
      </w:pPr>
      <w:r>
        <w:rPr>
          <w:rFonts w:ascii="Garamond" w:hAnsi="Garamond"/>
          <w:sz w:val="24"/>
          <w:szCs w:val="24"/>
          <w:rtl w:val="0"/>
          <w:lang w:val="it-IT"/>
        </w:rPr>
        <w:t>Partendo dall</w:t>
      </w:r>
      <w:r>
        <w:rPr>
          <w:rFonts w:ascii="Garamond" w:hAnsi="Garamond" w:hint="default"/>
          <w:sz w:val="24"/>
          <w:szCs w:val="24"/>
          <w:rtl w:val="0"/>
          <w:lang w:val="it-IT"/>
        </w:rPr>
        <w:t>’</w:t>
      </w:r>
      <w:r>
        <w:rPr>
          <w:rFonts w:ascii="Garamond" w:hAnsi="Garamond"/>
          <w:sz w:val="24"/>
          <w:szCs w:val="24"/>
          <w:rtl w:val="0"/>
          <w:lang w:val="it-IT"/>
        </w:rPr>
        <w:t>esperienza del Laboratorio Comune Condiviso (ComCon), il Dipartimento di Scienze Politiche ha coordinato nell</w:t>
      </w:r>
      <w:r>
        <w:rPr>
          <w:rFonts w:ascii="Garamond" w:hAnsi="Garamond" w:hint="default"/>
          <w:sz w:val="24"/>
          <w:szCs w:val="24"/>
          <w:rtl w:val="0"/>
          <w:lang w:val="it-IT"/>
        </w:rPr>
        <w:t>’</w:t>
      </w:r>
      <w:r>
        <w:rPr>
          <w:rFonts w:ascii="Garamond" w:hAnsi="Garamond"/>
          <w:sz w:val="24"/>
          <w:szCs w:val="24"/>
          <w:rtl w:val="0"/>
          <w:lang w:val="it-IT"/>
        </w:rPr>
        <w:t xml:space="preserve">a.a. 2021/2022 il progetto CIVIS </w:t>
      </w:r>
      <w:r>
        <w:rPr>
          <w:rFonts w:ascii="Garamond" w:hAnsi="Garamond" w:hint="default"/>
          <w:i w:val="1"/>
          <w:iCs w:val="1"/>
          <w:sz w:val="24"/>
          <w:szCs w:val="24"/>
          <w:rtl w:val="0"/>
          <w:lang w:val="it-IT"/>
        </w:rPr>
        <w:t>“</w:t>
      </w:r>
      <w:r>
        <w:rPr>
          <w:rFonts w:ascii="Garamond" w:hAnsi="Garamond"/>
          <w:i w:val="1"/>
          <w:iCs w:val="1"/>
          <w:sz w:val="24"/>
          <w:szCs w:val="24"/>
          <w:rtl w:val="0"/>
          <w:lang w:val="it-IT"/>
        </w:rPr>
        <w:t>Urban regeneration through informality: theories and experiences</w:t>
      </w:r>
      <w:r>
        <w:rPr>
          <w:rFonts w:ascii="Garamond" w:hAnsi="Garamond" w:hint="default"/>
          <w:sz w:val="24"/>
          <w:szCs w:val="24"/>
          <w:rtl w:val="0"/>
          <w:lang w:val="it-IT"/>
        </w:rPr>
        <w:t>”</w:t>
      </w:r>
      <w:r>
        <w:rPr>
          <w:rFonts w:ascii="Garamond" w:hAnsi="Garamond"/>
          <w:sz w:val="24"/>
          <w:szCs w:val="24"/>
          <w:rtl w:val="0"/>
          <w:lang w:val="it-IT"/>
        </w:rPr>
        <w:t>. Il progetto, che ha visto la partecipazione di Sapienza insieme ad altre tre universit</w:t>
      </w:r>
      <w:r>
        <w:rPr>
          <w:rFonts w:ascii="Garamond" w:hAnsi="Garamond" w:hint="default"/>
          <w:sz w:val="24"/>
          <w:szCs w:val="24"/>
          <w:rtl w:val="0"/>
          <w:lang w:val="it-IT"/>
        </w:rPr>
        <w:t xml:space="preserve">à </w:t>
      </w:r>
      <w:r>
        <w:rPr>
          <w:rFonts w:ascii="Garamond" w:hAnsi="Garamond"/>
          <w:sz w:val="24"/>
          <w:szCs w:val="24"/>
          <w:rtl w:val="0"/>
          <w:lang w:val="it-IT"/>
        </w:rPr>
        <w:t>della rete europea CIVIS (National and Kapodistrian University of Athens, Universidad Aut</w:t>
      </w:r>
      <w:r>
        <w:rPr>
          <w:rFonts w:ascii="Garamond" w:hAnsi="Garamond" w:hint="default"/>
          <w:sz w:val="24"/>
          <w:szCs w:val="24"/>
          <w:rtl w:val="0"/>
          <w:lang w:val="it-IT"/>
        </w:rPr>
        <w:t>ó</w:t>
      </w:r>
      <w:r>
        <w:rPr>
          <w:rFonts w:ascii="Garamond" w:hAnsi="Garamond"/>
          <w:sz w:val="24"/>
          <w:szCs w:val="24"/>
          <w:rtl w:val="0"/>
          <w:lang w:val="it-IT"/>
        </w:rPr>
        <w:t>noma de Madrid e Eberhard Karls Universit</w:t>
      </w:r>
      <w:r>
        <w:rPr>
          <w:rFonts w:ascii="Garamond" w:hAnsi="Garamond" w:hint="default"/>
          <w:sz w:val="24"/>
          <w:szCs w:val="24"/>
          <w:rtl w:val="0"/>
          <w:lang w:val="it-IT"/>
        </w:rPr>
        <w:t>ä</w:t>
      </w:r>
      <w:r>
        <w:rPr>
          <w:rFonts w:ascii="Garamond" w:hAnsi="Garamond"/>
          <w:sz w:val="24"/>
          <w:szCs w:val="24"/>
          <w:rtl w:val="0"/>
          <w:lang w:val="it-IT"/>
        </w:rPr>
        <w:t>t T</w:t>
      </w:r>
      <w:r>
        <w:rPr>
          <w:rFonts w:ascii="Garamond" w:hAnsi="Garamond" w:hint="default"/>
          <w:sz w:val="24"/>
          <w:szCs w:val="24"/>
          <w:rtl w:val="0"/>
          <w:lang w:val="it-IT"/>
        </w:rPr>
        <w:t>ü</w:t>
      </w:r>
      <w:r>
        <w:rPr>
          <w:rFonts w:ascii="Garamond" w:hAnsi="Garamond"/>
          <w:sz w:val="24"/>
          <w:szCs w:val="24"/>
          <w:rtl w:val="0"/>
          <w:lang w:val="it-IT"/>
        </w:rPr>
        <w:t>bingen), ha inteso fornire agli studenti partecipanti gli strumenti e le competenze di carattere teorico ed empirico per leggere, interpretare e predisporre azioni di supporto indirizzate alle sempre pi</w:t>
      </w:r>
      <w:r>
        <w:rPr>
          <w:rFonts w:ascii="Garamond" w:hAnsi="Garamond" w:hint="default"/>
          <w:sz w:val="24"/>
          <w:szCs w:val="24"/>
          <w:rtl w:val="0"/>
          <w:lang w:val="it-IT"/>
        </w:rPr>
        <w:t xml:space="preserve">ù </w:t>
      </w:r>
      <w:r>
        <w:rPr>
          <w:rFonts w:ascii="Garamond" w:hAnsi="Garamond"/>
          <w:sz w:val="24"/>
          <w:szCs w:val="24"/>
          <w:rtl w:val="0"/>
          <w:lang w:val="it-IT"/>
        </w:rPr>
        <w:t>numerose esperienze di cura, rigenerazione e trasformazione degli spazi urbani.</w:t>
      </w:r>
    </w:p>
    <w:p>
      <w:pPr>
        <w:pStyle w:val="Normal.0"/>
        <w:spacing w:line="360" w:lineRule="auto"/>
        <w:jc w:val="both"/>
        <w:rPr>
          <w:rFonts w:ascii="Garamond" w:cs="Garamond" w:hAnsi="Garamond" w:eastAsia="Garamond"/>
          <w:sz w:val="24"/>
          <w:szCs w:val="24"/>
          <w:lang w:val="it-IT"/>
        </w:rPr>
      </w:pPr>
      <w:r>
        <w:rPr>
          <w:rFonts w:ascii="Garamond" w:hAnsi="Garamond"/>
          <w:sz w:val="24"/>
          <w:szCs w:val="24"/>
          <w:rtl w:val="0"/>
          <w:lang w:val="it-IT"/>
        </w:rPr>
        <w:t xml:space="preserve">A tal proposito, il corso, realizzato interamente in lingua inglese e con approccio interdisciplinare, </w:t>
      </w:r>
      <w:r>
        <w:rPr>
          <w:rFonts w:ascii="Garamond" w:hAnsi="Garamond" w:hint="default"/>
          <w:sz w:val="24"/>
          <w:szCs w:val="24"/>
          <w:rtl w:val="0"/>
          <w:lang w:val="it-IT"/>
        </w:rPr>
        <w:t xml:space="preserve">è </w:t>
      </w:r>
      <w:r>
        <w:rPr>
          <w:rFonts w:ascii="Garamond" w:hAnsi="Garamond"/>
          <w:sz w:val="24"/>
          <w:szCs w:val="24"/>
          <w:rtl w:val="0"/>
          <w:lang w:val="it-IT"/>
        </w:rPr>
        <w:t>stato strutturato in due parti.</w:t>
      </w:r>
    </w:p>
    <w:p>
      <w:pPr>
        <w:pStyle w:val="Normal.0"/>
        <w:spacing w:line="360" w:lineRule="auto"/>
        <w:jc w:val="both"/>
        <w:rPr>
          <w:rFonts w:ascii="Garamond" w:cs="Garamond" w:hAnsi="Garamond" w:eastAsia="Garamond"/>
          <w:sz w:val="24"/>
          <w:szCs w:val="24"/>
          <w:lang w:val="it-IT"/>
        </w:rPr>
      </w:pPr>
      <w:r>
        <w:rPr>
          <w:rFonts w:ascii="Garamond" w:hAnsi="Garamond"/>
          <w:sz w:val="24"/>
          <w:szCs w:val="24"/>
          <w:rtl w:val="0"/>
          <w:lang w:val="it-IT"/>
        </w:rPr>
        <w:t xml:space="preserve">Nella prima parte, di carattere teorico, sono stati analizzati, grazie alle docenze dei professori afferenti ai quattro atenei coinvolti, gli elementi di natura giuridica, politica, sociologica ed economica che sono alla base delle esperienze </w:t>
      </w:r>
      <w:r>
        <w:rPr>
          <w:rFonts w:ascii="Garamond" w:hAnsi="Garamond" w:hint="default"/>
          <w:sz w:val="24"/>
          <w:szCs w:val="24"/>
          <w:rtl w:val="0"/>
          <w:lang w:val="it-IT"/>
        </w:rPr>
        <w:t>“</w:t>
      </w:r>
      <w:r>
        <w:rPr>
          <w:rFonts w:ascii="Garamond" w:hAnsi="Garamond"/>
          <w:sz w:val="24"/>
          <w:szCs w:val="24"/>
          <w:rtl w:val="0"/>
          <w:lang w:val="it-IT"/>
        </w:rPr>
        <w:t>informali</w:t>
      </w:r>
      <w:r>
        <w:rPr>
          <w:rFonts w:ascii="Garamond" w:hAnsi="Garamond" w:hint="default"/>
          <w:sz w:val="24"/>
          <w:szCs w:val="24"/>
          <w:rtl w:val="0"/>
          <w:lang w:val="it-IT"/>
        </w:rPr>
        <w:t xml:space="preserve">” </w:t>
      </w:r>
      <w:r>
        <w:rPr>
          <w:rFonts w:ascii="Garamond" w:hAnsi="Garamond"/>
          <w:sz w:val="24"/>
          <w:szCs w:val="24"/>
          <w:rtl w:val="0"/>
          <w:lang w:val="it-IT"/>
        </w:rPr>
        <w:t>di rigenerazione urbana.</w:t>
      </w:r>
    </w:p>
    <w:p>
      <w:pPr>
        <w:pStyle w:val="Normal.0"/>
        <w:spacing w:line="360" w:lineRule="auto"/>
        <w:jc w:val="both"/>
        <w:rPr>
          <w:rFonts w:ascii="Garamond" w:cs="Garamond" w:hAnsi="Garamond" w:eastAsia="Garamond"/>
          <w:sz w:val="24"/>
          <w:szCs w:val="24"/>
          <w:lang w:val="it-IT"/>
        </w:rPr>
      </w:pPr>
      <w:r>
        <w:rPr>
          <w:rFonts w:ascii="Garamond" w:hAnsi="Garamond"/>
          <w:sz w:val="24"/>
          <w:szCs w:val="24"/>
          <w:rtl w:val="0"/>
          <w:lang w:val="it-IT"/>
        </w:rPr>
        <w:t xml:space="preserve">Nella seconda parte sono state invece approfondite direttamente </w:t>
      </w:r>
      <w:r>
        <w:rPr>
          <w:rFonts w:ascii="Garamond" w:hAnsi="Garamond" w:hint="default"/>
          <w:sz w:val="24"/>
          <w:szCs w:val="24"/>
          <w:rtl w:val="0"/>
          <w:lang w:val="it-IT"/>
        </w:rPr>
        <w:t>“</w:t>
      </w:r>
      <w:r>
        <w:rPr>
          <w:rFonts w:ascii="Garamond" w:hAnsi="Garamond"/>
          <w:sz w:val="24"/>
          <w:szCs w:val="24"/>
          <w:rtl w:val="0"/>
          <w:lang w:val="it-IT"/>
        </w:rPr>
        <w:t>sul campo</w:t>
      </w:r>
      <w:r>
        <w:rPr>
          <w:rFonts w:ascii="Garamond" w:hAnsi="Garamond" w:hint="default"/>
          <w:sz w:val="24"/>
          <w:szCs w:val="24"/>
          <w:rtl w:val="0"/>
          <w:lang w:val="it-IT"/>
        </w:rPr>
        <w:t xml:space="preserve">” </w:t>
      </w:r>
      <w:r>
        <w:rPr>
          <w:rFonts w:ascii="Garamond" w:hAnsi="Garamond"/>
          <w:sz w:val="24"/>
          <w:szCs w:val="24"/>
          <w:rtl w:val="0"/>
          <w:lang w:val="it-IT"/>
        </w:rPr>
        <w:t xml:space="preserve">alcune di queste esperienze </w:t>
      </w:r>
      <w:r>
        <w:rPr>
          <w:rFonts w:ascii="Garamond" w:hAnsi="Garamond" w:hint="default"/>
          <w:sz w:val="24"/>
          <w:szCs w:val="24"/>
          <w:rtl w:val="0"/>
          <w:lang w:val="it-IT"/>
        </w:rPr>
        <w:t>“</w:t>
      </w:r>
      <w:r>
        <w:rPr>
          <w:rFonts w:ascii="Garamond" w:hAnsi="Garamond"/>
          <w:sz w:val="24"/>
          <w:szCs w:val="24"/>
          <w:rtl w:val="0"/>
          <w:lang w:val="it-IT"/>
        </w:rPr>
        <w:t>informali</w:t>
      </w:r>
      <w:r>
        <w:rPr>
          <w:rFonts w:ascii="Garamond" w:hAnsi="Garamond" w:hint="default"/>
          <w:sz w:val="24"/>
          <w:szCs w:val="24"/>
          <w:rtl w:val="0"/>
          <w:lang w:val="it-IT"/>
        </w:rPr>
        <w:t xml:space="preserve">” </w:t>
      </w:r>
      <w:r>
        <w:rPr>
          <w:rFonts w:ascii="Garamond" w:hAnsi="Garamond"/>
          <w:sz w:val="24"/>
          <w:szCs w:val="24"/>
          <w:rtl w:val="0"/>
          <w:lang w:val="it-IT"/>
        </w:rPr>
        <w:t>che hanno preso forma nella citt</w:t>
      </w:r>
      <w:r>
        <w:rPr>
          <w:rFonts w:ascii="Garamond" w:hAnsi="Garamond" w:hint="default"/>
          <w:sz w:val="24"/>
          <w:szCs w:val="24"/>
          <w:rtl w:val="0"/>
          <w:lang w:val="it-IT"/>
        </w:rPr>
        <w:t xml:space="preserve">à </w:t>
      </w:r>
      <w:r>
        <w:rPr>
          <w:rFonts w:ascii="Garamond" w:hAnsi="Garamond"/>
          <w:sz w:val="24"/>
          <w:szCs w:val="24"/>
          <w:rtl w:val="0"/>
          <w:lang w:val="it-IT"/>
        </w:rPr>
        <w:t>di Roma (nella fattispecie, Scomodo redazione, Nonna Roma, Scuola Cadlolo e LabPuzzle). Il Dipartimento ha quindi ospitato i professori e gli studenti delle altre universit</w:t>
      </w:r>
      <w:r>
        <w:rPr>
          <w:rFonts w:ascii="Garamond" w:hAnsi="Garamond" w:hint="default"/>
          <w:sz w:val="24"/>
          <w:szCs w:val="24"/>
          <w:rtl w:val="0"/>
          <w:lang w:val="it-IT"/>
        </w:rPr>
        <w:t xml:space="preserve">à </w:t>
      </w:r>
      <w:r>
        <w:rPr>
          <w:rFonts w:ascii="Garamond" w:hAnsi="Garamond"/>
          <w:sz w:val="24"/>
          <w:szCs w:val="24"/>
          <w:rtl w:val="0"/>
          <w:lang w:val="it-IT"/>
        </w:rPr>
        <w:t>partner, che insieme agli studenti di Sapienza hanno potuto mettere concretamente alla prova le conoscenze acquisite.</w:t>
      </w:r>
    </w:p>
    <w:p>
      <w:pPr>
        <w:pStyle w:val="Normal.0"/>
        <w:spacing w:line="360" w:lineRule="auto"/>
        <w:jc w:val="both"/>
      </w:pPr>
      <w:r>
        <w:rPr>
          <w:rFonts w:ascii="Garamond" w:hAnsi="Garamond"/>
          <w:sz w:val="24"/>
          <w:szCs w:val="24"/>
          <w:rtl w:val="0"/>
          <w:lang w:val="it-IT"/>
        </w:rPr>
        <w:t>In particolare, gli studenti, divisi in gruppi, hanno predisposto una relazione finale per ciascuna realt</w:t>
      </w:r>
      <w:r>
        <w:rPr>
          <w:rFonts w:ascii="Garamond" w:hAnsi="Garamond" w:hint="default"/>
          <w:sz w:val="24"/>
          <w:szCs w:val="24"/>
          <w:rtl w:val="0"/>
          <w:lang w:val="it-IT"/>
        </w:rPr>
        <w:t xml:space="preserve">à </w:t>
      </w:r>
      <w:r>
        <w:rPr>
          <w:rFonts w:ascii="Garamond" w:hAnsi="Garamond"/>
          <w:sz w:val="24"/>
          <w:szCs w:val="24"/>
          <w:rtl w:val="0"/>
          <w:lang w:val="it-IT"/>
        </w:rPr>
        <w:t>con la quale sono entrati in contatto durante il soggiorno a Roma. Il corso ha dunque rappresentato per i partecipanti un momento proficuo di condivisione di conoscenze, opinioni ed esperienze, che potranno costituire il punto di partenza per la proliferazione di ulteriori esperienze di rigenerazione urbana.</w:t>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Times New Roman"/>
        <a:ea typeface="Times New Roman"/>
        <a:cs typeface="Times New Roman"/>
      </a:majorFont>
      <a:minorFont>
        <a:latin typeface="Times New Roman"/>
        <a:ea typeface="Times New Roman"/>
        <a:cs typeface="Times New Roman"/>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