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6B12" w14:textId="77777777" w:rsidR="00821A7A" w:rsidRDefault="00821A7A" w:rsidP="00877BBE">
      <w:pPr>
        <w:jc w:val="center"/>
        <w:rPr>
          <w:b/>
          <w:bCs/>
        </w:rPr>
      </w:pPr>
      <w:bookmarkStart w:id="0" w:name="_GoBack"/>
      <w:bookmarkEnd w:id="0"/>
    </w:p>
    <w:p w14:paraId="7A27796C" w14:textId="4BA78EF0" w:rsidR="00877BBE" w:rsidRDefault="00877BBE" w:rsidP="00877BBE">
      <w:pPr>
        <w:jc w:val="center"/>
        <w:rPr>
          <w:b/>
          <w:bCs/>
        </w:rPr>
      </w:pPr>
      <w:r w:rsidRPr="00877BBE">
        <w:rPr>
          <w:b/>
          <w:bCs/>
        </w:rPr>
        <w:t>MODULO PRESENTAZIONE SEMINARI/LABORATORI</w:t>
      </w:r>
    </w:p>
    <w:p w14:paraId="09FA4D15" w14:textId="77777777" w:rsidR="00877BBE" w:rsidRPr="00877BBE" w:rsidRDefault="00877BBE" w:rsidP="00877BBE">
      <w:pPr>
        <w:jc w:val="center"/>
        <w:rPr>
          <w:b/>
          <w:bCs/>
        </w:rPr>
      </w:pPr>
    </w:p>
    <w:p w14:paraId="2B651B64" w14:textId="60D8913C" w:rsidR="00877BBE" w:rsidRPr="00877BBE" w:rsidRDefault="00877BBE" w:rsidP="00877BBE">
      <w:pPr>
        <w:jc w:val="center"/>
        <w:rPr>
          <w:b/>
          <w:bCs/>
        </w:rPr>
      </w:pPr>
    </w:p>
    <w:tbl>
      <w:tblPr>
        <w:tblStyle w:val="Grigliatabella"/>
        <w:tblW w:w="0" w:type="auto"/>
        <w:tblLook w:val="04A0" w:firstRow="1" w:lastRow="0" w:firstColumn="1" w:lastColumn="0" w:noHBand="0" w:noVBand="1"/>
      </w:tblPr>
      <w:tblGrid>
        <w:gridCol w:w="2547"/>
        <w:gridCol w:w="7081"/>
      </w:tblGrid>
      <w:tr w:rsidR="00877BBE" w14:paraId="6461F0E0" w14:textId="77777777" w:rsidTr="00877BBE">
        <w:tc>
          <w:tcPr>
            <w:tcW w:w="2547" w:type="dxa"/>
          </w:tcPr>
          <w:p w14:paraId="5A1ED279" w14:textId="1A3509D7" w:rsidR="00877BBE" w:rsidRPr="00877BBE" w:rsidRDefault="00877BBE" w:rsidP="00877BBE">
            <w:pPr>
              <w:rPr>
                <w:b/>
                <w:bCs/>
              </w:rPr>
            </w:pPr>
            <w:r w:rsidRPr="00877BBE">
              <w:rPr>
                <w:b/>
                <w:bCs/>
              </w:rPr>
              <w:t>Titolo seminario</w:t>
            </w:r>
          </w:p>
          <w:p w14:paraId="3F2DE857" w14:textId="03FE9ECD" w:rsidR="00877BBE" w:rsidRPr="00877BBE" w:rsidRDefault="00877BBE" w:rsidP="00877BBE">
            <w:pPr>
              <w:rPr>
                <w:b/>
                <w:bCs/>
              </w:rPr>
            </w:pPr>
          </w:p>
        </w:tc>
        <w:tc>
          <w:tcPr>
            <w:tcW w:w="7081" w:type="dxa"/>
          </w:tcPr>
          <w:p w14:paraId="3B842EAA" w14:textId="77777777" w:rsidR="00877BBE" w:rsidRDefault="00877BBE" w:rsidP="00877BBE"/>
          <w:p w14:paraId="4B4E022F" w14:textId="3D33CF6B" w:rsidR="00877BBE" w:rsidRDefault="00AA30FD" w:rsidP="00877BBE">
            <w:r>
              <w:t xml:space="preserve">Urban </w:t>
            </w:r>
            <w:proofErr w:type="spellStart"/>
            <w:r>
              <w:t>regeneration</w:t>
            </w:r>
            <w:proofErr w:type="spellEnd"/>
            <w:r>
              <w:t xml:space="preserve"> </w:t>
            </w:r>
            <w:proofErr w:type="spellStart"/>
            <w:r>
              <w:t>through</w:t>
            </w:r>
            <w:proofErr w:type="spellEnd"/>
            <w:r>
              <w:t xml:space="preserve"> </w:t>
            </w:r>
            <w:proofErr w:type="spellStart"/>
            <w:r>
              <w:t>informality</w:t>
            </w:r>
            <w:proofErr w:type="spellEnd"/>
            <w:r>
              <w:t xml:space="preserve">: </w:t>
            </w:r>
            <w:proofErr w:type="spellStart"/>
            <w:r>
              <w:t>theories</w:t>
            </w:r>
            <w:proofErr w:type="spellEnd"/>
            <w:r>
              <w:t xml:space="preserve"> and </w:t>
            </w:r>
            <w:proofErr w:type="spellStart"/>
            <w:r>
              <w:t>experiences</w:t>
            </w:r>
            <w:proofErr w:type="spellEnd"/>
          </w:p>
          <w:p w14:paraId="1C87F6D6" w14:textId="77777777" w:rsidR="00877BBE" w:rsidRDefault="00877BBE" w:rsidP="00877BBE"/>
          <w:p w14:paraId="5F3737BB" w14:textId="0AB6A942" w:rsidR="00877BBE" w:rsidRDefault="00877BBE" w:rsidP="00877BBE"/>
        </w:tc>
      </w:tr>
      <w:tr w:rsidR="00821A7A" w14:paraId="063ACDE6" w14:textId="77777777" w:rsidTr="00877BBE">
        <w:tc>
          <w:tcPr>
            <w:tcW w:w="2547" w:type="dxa"/>
          </w:tcPr>
          <w:p w14:paraId="547E7F79" w14:textId="77777777" w:rsidR="00821A7A" w:rsidRDefault="00821A7A" w:rsidP="00877BBE">
            <w:pPr>
              <w:rPr>
                <w:b/>
                <w:bCs/>
              </w:rPr>
            </w:pPr>
            <w:r>
              <w:rPr>
                <w:b/>
                <w:bCs/>
              </w:rPr>
              <w:t>Coordinatore scientifico</w:t>
            </w:r>
          </w:p>
          <w:p w14:paraId="1E0D9076" w14:textId="50C29943" w:rsidR="00821A7A" w:rsidRPr="00877BBE" w:rsidRDefault="00821A7A" w:rsidP="00877BBE">
            <w:pPr>
              <w:rPr>
                <w:b/>
                <w:bCs/>
              </w:rPr>
            </w:pPr>
          </w:p>
        </w:tc>
        <w:tc>
          <w:tcPr>
            <w:tcW w:w="7081" w:type="dxa"/>
          </w:tcPr>
          <w:p w14:paraId="096BC395" w14:textId="76B8D32B" w:rsidR="00821A7A" w:rsidRDefault="00AA30FD" w:rsidP="00877BBE">
            <w:r>
              <w:t>Fabio Giglioni</w:t>
            </w:r>
          </w:p>
        </w:tc>
      </w:tr>
      <w:tr w:rsidR="00877BBE" w14:paraId="5D365D45" w14:textId="77777777" w:rsidTr="00877BBE">
        <w:tc>
          <w:tcPr>
            <w:tcW w:w="2547" w:type="dxa"/>
          </w:tcPr>
          <w:p w14:paraId="7C617D48" w14:textId="1C06631C" w:rsidR="00877BBE" w:rsidRPr="00877BBE" w:rsidRDefault="00877BBE" w:rsidP="00877BBE">
            <w:pPr>
              <w:rPr>
                <w:b/>
                <w:bCs/>
              </w:rPr>
            </w:pPr>
            <w:r w:rsidRPr="00877BBE">
              <w:rPr>
                <w:b/>
                <w:bCs/>
              </w:rPr>
              <w:t>Presentazione</w:t>
            </w:r>
          </w:p>
        </w:tc>
        <w:tc>
          <w:tcPr>
            <w:tcW w:w="7081" w:type="dxa"/>
          </w:tcPr>
          <w:p w14:paraId="552EC3E0" w14:textId="77777777" w:rsidR="00AA30FD" w:rsidRDefault="00AA30FD" w:rsidP="00AA30FD">
            <w:r>
              <w:t xml:space="preserve">I seminari del corso “Urban </w:t>
            </w:r>
            <w:proofErr w:type="spellStart"/>
            <w:r>
              <w:t>regeneration</w:t>
            </w:r>
            <w:proofErr w:type="spellEnd"/>
            <w:r>
              <w:t xml:space="preserve"> </w:t>
            </w:r>
            <w:proofErr w:type="spellStart"/>
            <w:r>
              <w:t>through</w:t>
            </w:r>
            <w:proofErr w:type="spellEnd"/>
            <w:r>
              <w:t xml:space="preserve"> </w:t>
            </w:r>
            <w:proofErr w:type="spellStart"/>
            <w:r>
              <w:t>informality</w:t>
            </w:r>
            <w:proofErr w:type="spellEnd"/>
            <w:r>
              <w:t xml:space="preserve">: </w:t>
            </w:r>
            <w:proofErr w:type="spellStart"/>
            <w:r>
              <w:t>theories</w:t>
            </w:r>
            <w:proofErr w:type="spellEnd"/>
            <w:r>
              <w:t xml:space="preserve"> and </w:t>
            </w:r>
            <w:proofErr w:type="spellStart"/>
            <w:r>
              <w:t>experiences</w:t>
            </w:r>
            <w:proofErr w:type="spellEnd"/>
            <w:r>
              <w:t xml:space="preserve">” si propongono di fornire strumenti e competenze di carattere teorico ed empirico per leggere, interpretare e predisporre azioni di supporto indirizzate alle sempre più numerose esperienze di cura, rigenerazione e trasformazione degli spazi urbani. In particolare, gli incontri mirano a mettere in evidenza la dimensione informale delle relazioni, e degli usi del territorio urbano, lo sviluppo di economie locali informali e fenomeni che negli ultimi anni hanno rappresentato un crescendo quali-quantitativo nei modelli di </w:t>
            </w:r>
            <w:proofErr w:type="spellStart"/>
            <w:r>
              <w:t>governance</w:t>
            </w:r>
            <w:proofErr w:type="spellEnd"/>
            <w:r>
              <w:t xml:space="preserve"> della città.</w:t>
            </w:r>
          </w:p>
          <w:p w14:paraId="7E1D5CBC" w14:textId="77777777" w:rsidR="00AA30FD" w:rsidRDefault="00AA30FD" w:rsidP="00AA30FD"/>
          <w:p w14:paraId="431023B3" w14:textId="30E2EA8C" w:rsidR="00877BBE" w:rsidRDefault="00AA30FD" w:rsidP="00877BBE">
            <w:r>
              <w:t xml:space="preserve">Tra gli obiettivi del corso si comprende anche una formazione con una spiccata attenzione per la dimensione comparatistica, dal momento che il corso si inserisce nell’ambito delle attività finanziate dalla rete universitaria CIVIS, di cui Sapienza fa parte con altri sette atenei europei. Le attività che si propongono, infatti, sono parte del progetto approvato da CIVIS per l’HUB 4 “Cities, </w:t>
            </w:r>
            <w:proofErr w:type="spellStart"/>
            <w:r>
              <w:t>Territories</w:t>
            </w:r>
            <w:proofErr w:type="spellEnd"/>
            <w:r>
              <w:t xml:space="preserve"> and </w:t>
            </w:r>
            <w:proofErr w:type="spellStart"/>
            <w:r>
              <w:t>Mobility</w:t>
            </w:r>
            <w:proofErr w:type="spellEnd"/>
            <w:r>
              <w:t xml:space="preserve">”. Ne consegue che gli studenti che aderiscono al corso beneficeranno di contributi di docenti esperti di altre università (nel caso specifico di National and </w:t>
            </w:r>
            <w:proofErr w:type="spellStart"/>
            <w:r>
              <w:t>Kapodistrian</w:t>
            </w:r>
            <w:proofErr w:type="spellEnd"/>
            <w:r>
              <w:t xml:space="preserve"> </w:t>
            </w:r>
            <w:proofErr w:type="spellStart"/>
            <w:r>
              <w:t>University</w:t>
            </w:r>
            <w:proofErr w:type="spellEnd"/>
            <w:r>
              <w:t xml:space="preserve"> of </w:t>
            </w:r>
            <w:proofErr w:type="spellStart"/>
            <w:r>
              <w:t>Athens</w:t>
            </w:r>
            <w:proofErr w:type="spellEnd"/>
            <w:r>
              <w:t xml:space="preserve">, </w:t>
            </w:r>
            <w:proofErr w:type="spellStart"/>
            <w:r>
              <w:t>Universidad</w:t>
            </w:r>
            <w:proofErr w:type="spellEnd"/>
            <w:r>
              <w:t xml:space="preserve"> </w:t>
            </w:r>
            <w:proofErr w:type="spellStart"/>
            <w:r>
              <w:t>Autónoma</w:t>
            </w:r>
            <w:proofErr w:type="spellEnd"/>
            <w:r>
              <w:t xml:space="preserve"> de Madrid e Eberhard </w:t>
            </w:r>
            <w:proofErr w:type="spellStart"/>
            <w:r>
              <w:t>Karls</w:t>
            </w:r>
            <w:proofErr w:type="spellEnd"/>
            <w:r>
              <w:t xml:space="preserve"> </w:t>
            </w:r>
            <w:proofErr w:type="spellStart"/>
            <w:r>
              <w:t>Universität</w:t>
            </w:r>
            <w:proofErr w:type="spellEnd"/>
            <w:r>
              <w:t xml:space="preserve"> Tübingen) e condivideranno questa esperienza con omologhi delle altre università europee</w:t>
            </w:r>
          </w:p>
        </w:tc>
      </w:tr>
      <w:tr w:rsidR="00877BBE" w14:paraId="6AF2D342" w14:textId="77777777" w:rsidTr="00877BBE">
        <w:tc>
          <w:tcPr>
            <w:tcW w:w="2547" w:type="dxa"/>
          </w:tcPr>
          <w:p w14:paraId="007AF6BA" w14:textId="13ED2086" w:rsidR="00877BBE" w:rsidRDefault="00877BBE" w:rsidP="00877BBE">
            <w:pPr>
              <w:rPr>
                <w:b/>
                <w:bCs/>
              </w:rPr>
            </w:pPr>
            <w:r>
              <w:rPr>
                <w:b/>
                <w:bCs/>
              </w:rPr>
              <w:t>Programma Incontri</w:t>
            </w:r>
          </w:p>
          <w:p w14:paraId="0B0566CF" w14:textId="48CBAD2B" w:rsidR="00821A7A" w:rsidRDefault="00821A7A" w:rsidP="00877BBE">
            <w:pPr>
              <w:rPr>
                <w:b/>
                <w:bCs/>
              </w:rPr>
            </w:pPr>
            <w:r>
              <w:rPr>
                <w:b/>
                <w:bCs/>
              </w:rPr>
              <w:t>(date e ore)</w:t>
            </w:r>
          </w:p>
          <w:p w14:paraId="6B089770" w14:textId="1FBBBE29" w:rsidR="00877BBE" w:rsidRPr="00877BBE" w:rsidRDefault="00877BBE" w:rsidP="00877BBE">
            <w:pPr>
              <w:rPr>
                <w:b/>
                <w:bCs/>
              </w:rPr>
            </w:pPr>
          </w:p>
        </w:tc>
        <w:tc>
          <w:tcPr>
            <w:tcW w:w="7081" w:type="dxa"/>
          </w:tcPr>
          <w:p w14:paraId="3CC92A16" w14:textId="77777777" w:rsidR="00AA30FD" w:rsidRPr="00AA30FD" w:rsidRDefault="00AA30FD" w:rsidP="00AA30FD">
            <w:pPr>
              <w:pStyle w:val="NormaleWeb"/>
              <w:spacing w:before="0" w:beforeAutospacing="0" w:after="120" w:afterAutospacing="0"/>
              <w:jc w:val="both"/>
            </w:pPr>
            <w:r>
              <w:rPr>
                <w:i/>
                <w:iCs/>
                <w:sz w:val="17"/>
                <w:szCs w:val="17"/>
              </w:rPr>
              <w:br/>
            </w:r>
            <w:r w:rsidRPr="00AA30FD">
              <w:rPr>
                <w:i/>
                <w:iCs/>
              </w:rPr>
              <w:t>Parte teorica (4 incontri: 8 ore)</w:t>
            </w:r>
          </w:p>
          <w:p w14:paraId="0C6059F9" w14:textId="77777777" w:rsidR="00AA30FD" w:rsidRPr="00AA30FD" w:rsidRDefault="00AA30FD" w:rsidP="00AA30FD">
            <w:pPr>
              <w:numPr>
                <w:ilvl w:val="0"/>
                <w:numId w:val="1"/>
              </w:numPr>
              <w:spacing w:after="120"/>
              <w:jc w:val="both"/>
            </w:pPr>
            <w:r w:rsidRPr="00AA30FD">
              <w:t xml:space="preserve">The </w:t>
            </w:r>
            <w:proofErr w:type="spellStart"/>
            <w:r w:rsidRPr="00AA30FD">
              <w:t>challenges</w:t>
            </w:r>
            <w:proofErr w:type="spellEnd"/>
            <w:r w:rsidRPr="00AA30FD">
              <w:t xml:space="preserve"> of </w:t>
            </w:r>
            <w:proofErr w:type="spellStart"/>
            <w:r w:rsidRPr="00AA30FD">
              <w:t>informality</w:t>
            </w:r>
            <w:proofErr w:type="spellEnd"/>
            <w:r w:rsidRPr="00AA30FD">
              <w:t xml:space="preserve"> for law in the </w:t>
            </w:r>
            <w:proofErr w:type="spellStart"/>
            <w:r w:rsidRPr="00AA30FD">
              <w:t>urban</w:t>
            </w:r>
            <w:proofErr w:type="spellEnd"/>
            <w:r w:rsidRPr="00AA30FD">
              <w:t xml:space="preserve"> </w:t>
            </w:r>
            <w:proofErr w:type="spellStart"/>
            <w:r w:rsidRPr="00AA30FD">
              <w:t>regeneration</w:t>
            </w:r>
            <w:proofErr w:type="spellEnd"/>
            <w:r w:rsidRPr="00AA30FD">
              <w:t xml:space="preserve"> (Giglioni): 1 aprile, ore 16; </w:t>
            </w:r>
          </w:p>
          <w:p w14:paraId="67685FF9" w14:textId="77777777" w:rsidR="00AA30FD" w:rsidRPr="00AA30FD" w:rsidRDefault="00AA30FD" w:rsidP="00AA30FD">
            <w:pPr>
              <w:numPr>
                <w:ilvl w:val="0"/>
                <w:numId w:val="1"/>
              </w:numPr>
              <w:spacing w:after="120"/>
              <w:jc w:val="both"/>
            </w:pPr>
            <w:r w:rsidRPr="00AA30FD">
              <w:t xml:space="preserve">Building </w:t>
            </w:r>
            <w:proofErr w:type="spellStart"/>
            <w:r w:rsidRPr="00AA30FD">
              <w:t>Circular</w:t>
            </w:r>
            <w:proofErr w:type="spellEnd"/>
            <w:r w:rsidRPr="00AA30FD">
              <w:t xml:space="preserve"> Cities (</w:t>
            </w:r>
            <w:proofErr w:type="spellStart"/>
            <w:r w:rsidRPr="00AA30FD">
              <w:t>María</w:t>
            </w:r>
            <w:proofErr w:type="spellEnd"/>
            <w:r w:rsidRPr="00AA30FD">
              <w:t xml:space="preserve"> del Mar Alonso </w:t>
            </w:r>
            <w:proofErr w:type="spellStart"/>
            <w:r w:rsidRPr="00AA30FD">
              <w:t>Almeida</w:t>
            </w:r>
            <w:proofErr w:type="spellEnd"/>
            <w:r w:rsidRPr="00AA30FD">
              <w:t xml:space="preserve"> – </w:t>
            </w:r>
            <w:proofErr w:type="spellStart"/>
            <w:r w:rsidRPr="00AA30FD">
              <w:t>Universidad</w:t>
            </w:r>
            <w:proofErr w:type="spellEnd"/>
            <w:r w:rsidRPr="00AA30FD">
              <w:t xml:space="preserve"> Autonoma de Madrid): 4 aprile, ore 16;</w:t>
            </w:r>
          </w:p>
          <w:p w14:paraId="2A36CE57" w14:textId="77777777" w:rsidR="00AA30FD" w:rsidRPr="00AA30FD" w:rsidRDefault="00AA30FD" w:rsidP="00AA30FD">
            <w:pPr>
              <w:numPr>
                <w:ilvl w:val="0"/>
                <w:numId w:val="1"/>
              </w:numPr>
              <w:spacing w:after="120"/>
              <w:jc w:val="both"/>
            </w:pPr>
            <w:r w:rsidRPr="00AA30FD">
              <w:t xml:space="preserve">Conditions for the </w:t>
            </w:r>
            <w:proofErr w:type="spellStart"/>
            <w:r w:rsidRPr="00AA30FD">
              <w:t>development</w:t>
            </w:r>
            <w:proofErr w:type="spellEnd"/>
            <w:r w:rsidRPr="00AA30FD">
              <w:t xml:space="preserve"> of </w:t>
            </w:r>
            <w:proofErr w:type="spellStart"/>
            <w:r w:rsidRPr="00AA30FD">
              <w:t>Innovations</w:t>
            </w:r>
            <w:proofErr w:type="spellEnd"/>
            <w:r w:rsidRPr="00AA30FD">
              <w:t xml:space="preserve"> in cities (</w:t>
            </w:r>
            <w:proofErr w:type="spellStart"/>
            <w:r w:rsidRPr="00AA30FD">
              <w:t>Nikos</w:t>
            </w:r>
            <w:proofErr w:type="spellEnd"/>
            <w:r w:rsidRPr="00AA30FD">
              <w:t xml:space="preserve"> </w:t>
            </w:r>
            <w:proofErr w:type="spellStart"/>
            <w:r w:rsidRPr="00AA30FD">
              <w:t>Hlepas</w:t>
            </w:r>
            <w:proofErr w:type="spellEnd"/>
            <w:r w:rsidRPr="00AA30FD">
              <w:t xml:space="preserve"> – National and </w:t>
            </w:r>
            <w:proofErr w:type="spellStart"/>
            <w:r w:rsidRPr="00AA30FD">
              <w:t>Kapodistrian</w:t>
            </w:r>
            <w:proofErr w:type="spellEnd"/>
            <w:r w:rsidRPr="00AA30FD">
              <w:t xml:space="preserve"> </w:t>
            </w:r>
            <w:proofErr w:type="spellStart"/>
            <w:r w:rsidRPr="00AA30FD">
              <w:t>Universityof</w:t>
            </w:r>
            <w:proofErr w:type="spellEnd"/>
            <w:r w:rsidRPr="00AA30FD">
              <w:t xml:space="preserve"> </w:t>
            </w:r>
            <w:proofErr w:type="spellStart"/>
            <w:r w:rsidRPr="00AA30FD">
              <w:t>Athens</w:t>
            </w:r>
            <w:proofErr w:type="spellEnd"/>
            <w:r w:rsidRPr="00AA30FD">
              <w:t>): 6 aprile, ore 16</w:t>
            </w:r>
          </w:p>
          <w:p w14:paraId="1396B540" w14:textId="77777777" w:rsidR="00AA30FD" w:rsidRPr="00AA30FD" w:rsidRDefault="00AA30FD" w:rsidP="00AA30FD">
            <w:pPr>
              <w:numPr>
                <w:ilvl w:val="0"/>
                <w:numId w:val="1"/>
              </w:numPr>
              <w:spacing w:after="120"/>
            </w:pPr>
            <w:proofErr w:type="spellStart"/>
            <w:r w:rsidRPr="00AA30FD">
              <w:lastRenderedPageBreak/>
              <w:t>Transforming</w:t>
            </w:r>
            <w:proofErr w:type="spellEnd"/>
            <w:r w:rsidRPr="00AA30FD">
              <w:t xml:space="preserve"> </w:t>
            </w:r>
            <w:proofErr w:type="spellStart"/>
            <w:r w:rsidRPr="00AA30FD">
              <w:t>urban</w:t>
            </w:r>
            <w:proofErr w:type="spellEnd"/>
            <w:r w:rsidRPr="00AA30FD">
              <w:t xml:space="preserve"> </w:t>
            </w:r>
            <w:proofErr w:type="spellStart"/>
            <w:r w:rsidRPr="00AA30FD">
              <w:t>spaces</w:t>
            </w:r>
            <w:proofErr w:type="spellEnd"/>
            <w:r w:rsidRPr="00AA30FD">
              <w:t xml:space="preserve"> </w:t>
            </w:r>
            <w:proofErr w:type="spellStart"/>
            <w:r w:rsidRPr="00AA30FD">
              <w:t>into</w:t>
            </w:r>
            <w:proofErr w:type="spellEnd"/>
            <w:r w:rsidRPr="00AA30FD">
              <w:t xml:space="preserve"> green cities: </w:t>
            </w:r>
            <w:proofErr w:type="spellStart"/>
            <w:r w:rsidRPr="00AA30FD">
              <w:t>anthropological</w:t>
            </w:r>
            <w:proofErr w:type="spellEnd"/>
            <w:r w:rsidRPr="00AA30FD">
              <w:t xml:space="preserve"> </w:t>
            </w:r>
            <w:proofErr w:type="spellStart"/>
            <w:r w:rsidRPr="00AA30FD">
              <w:t>perspectives</w:t>
            </w:r>
            <w:proofErr w:type="spellEnd"/>
            <w:r w:rsidRPr="00AA30FD">
              <w:t xml:space="preserve"> on Germany and India (Karin </w:t>
            </w:r>
            <w:proofErr w:type="spellStart"/>
            <w:r w:rsidRPr="00AA30FD">
              <w:t>Polit</w:t>
            </w:r>
            <w:proofErr w:type="spellEnd"/>
            <w:r w:rsidRPr="00AA30FD">
              <w:t xml:space="preserve"> – Eberhard </w:t>
            </w:r>
            <w:proofErr w:type="spellStart"/>
            <w:r w:rsidRPr="00AA30FD">
              <w:t>Karls</w:t>
            </w:r>
            <w:proofErr w:type="spellEnd"/>
            <w:r w:rsidRPr="00AA30FD">
              <w:t xml:space="preserve"> </w:t>
            </w:r>
            <w:proofErr w:type="spellStart"/>
            <w:r w:rsidRPr="00AA30FD">
              <w:t>Universität</w:t>
            </w:r>
            <w:proofErr w:type="spellEnd"/>
            <w:r w:rsidRPr="00AA30FD">
              <w:t xml:space="preserve"> Tübingen): 29 aprile, ore 16</w:t>
            </w:r>
          </w:p>
          <w:p w14:paraId="17B42355" w14:textId="77777777" w:rsidR="00AA30FD" w:rsidRPr="00AA30FD" w:rsidRDefault="00AA30FD" w:rsidP="00AA30FD">
            <w:pPr>
              <w:pStyle w:val="NormaleWeb"/>
              <w:spacing w:before="0" w:beforeAutospacing="0" w:after="120" w:afterAutospacing="0"/>
              <w:jc w:val="both"/>
            </w:pPr>
          </w:p>
          <w:p w14:paraId="74BC2780" w14:textId="77777777" w:rsidR="00AA30FD" w:rsidRPr="00AA30FD" w:rsidRDefault="00AA30FD" w:rsidP="00AA30FD">
            <w:pPr>
              <w:pStyle w:val="NormaleWeb"/>
              <w:spacing w:before="0" w:beforeAutospacing="0" w:after="120" w:afterAutospacing="0"/>
              <w:jc w:val="both"/>
            </w:pPr>
            <w:r w:rsidRPr="00AA30FD">
              <w:rPr>
                <w:i/>
                <w:iCs/>
              </w:rPr>
              <w:t>Parte empirica (40 ore)</w:t>
            </w:r>
          </w:p>
          <w:p w14:paraId="71445F78" w14:textId="77777777" w:rsidR="00AA30FD" w:rsidRPr="00AA30FD" w:rsidRDefault="00AA30FD" w:rsidP="00AA30FD">
            <w:pPr>
              <w:numPr>
                <w:ilvl w:val="0"/>
                <w:numId w:val="2"/>
              </w:numPr>
              <w:spacing w:after="120"/>
              <w:jc w:val="both"/>
            </w:pPr>
            <w:r w:rsidRPr="00AA30FD">
              <w:t>Lavoro </w:t>
            </w:r>
            <w:r w:rsidRPr="00AA30FD">
              <w:rPr>
                <w:i/>
                <w:iCs/>
              </w:rPr>
              <w:t>on field</w:t>
            </w:r>
            <w:r w:rsidRPr="00AA30FD">
              <w:t>: 22-29 maggio</w:t>
            </w:r>
          </w:p>
          <w:p w14:paraId="43A6A41D" w14:textId="455D1C8E" w:rsidR="00877BBE" w:rsidRPr="00AA30FD" w:rsidRDefault="00877BBE" w:rsidP="001B6492">
            <w:pPr>
              <w:spacing w:after="120"/>
              <w:ind w:left="360"/>
              <w:jc w:val="both"/>
            </w:pPr>
          </w:p>
        </w:tc>
      </w:tr>
      <w:tr w:rsidR="00877BBE" w14:paraId="25239D49" w14:textId="77777777" w:rsidTr="00877BBE">
        <w:tc>
          <w:tcPr>
            <w:tcW w:w="2547" w:type="dxa"/>
          </w:tcPr>
          <w:p w14:paraId="1C62A974" w14:textId="63923032" w:rsidR="00877BBE" w:rsidRPr="00877BBE" w:rsidRDefault="00877BBE" w:rsidP="00877BBE">
            <w:pPr>
              <w:rPr>
                <w:b/>
                <w:bCs/>
              </w:rPr>
            </w:pPr>
            <w:r w:rsidRPr="00877BBE">
              <w:rPr>
                <w:b/>
                <w:bCs/>
              </w:rPr>
              <w:lastRenderedPageBreak/>
              <w:t>Numero studenti</w:t>
            </w:r>
            <w:r w:rsidR="00821A7A">
              <w:rPr>
                <w:b/>
                <w:bCs/>
              </w:rPr>
              <w:t xml:space="preserve"> ammessi</w:t>
            </w:r>
          </w:p>
        </w:tc>
        <w:tc>
          <w:tcPr>
            <w:tcW w:w="7081" w:type="dxa"/>
          </w:tcPr>
          <w:p w14:paraId="100B8615" w14:textId="7E582513" w:rsidR="00877BBE" w:rsidRDefault="00AA30FD" w:rsidP="00877BBE">
            <w:r>
              <w:t>10</w:t>
            </w:r>
          </w:p>
        </w:tc>
      </w:tr>
      <w:tr w:rsidR="00877BBE" w14:paraId="40E9B326" w14:textId="77777777" w:rsidTr="00877BBE">
        <w:tc>
          <w:tcPr>
            <w:tcW w:w="2547" w:type="dxa"/>
          </w:tcPr>
          <w:p w14:paraId="6255C233" w14:textId="2DE66EAE" w:rsidR="00877BBE" w:rsidRPr="00877BBE" w:rsidRDefault="00877BBE" w:rsidP="00877BBE">
            <w:pPr>
              <w:rPr>
                <w:b/>
                <w:bCs/>
              </w:rPr>
            </w:pPr>
            <w:r w:rsidRPr="00877BBE">
              <w:rPr>
                <w:b/>
                <w:bCs/>
              </w:rPr>
              <w:t>Periodo di svolgimento</w:t>
            </w:r>
          </w:p>
        </w:tc>
        <w:tc>
          <w:tcPr>
            <w:tcW w:w="7081" w:type="dxa"/>
          </w:tcPr>
          <w:p w14:paraId="235888A0" w14:textId="04F6885B" w:rsidR="00877BBE" w:rsidRDefault="00AA30FD" w:rsidP="00877BBE">
            <w:r>
              <w:t>2</w:t>
            </w:r>
            <w:r w:rsidR="00877BBE">
              <w:t xml:space="preserve">° semestre </w:t>
            </w:r>
            <w:proofErr w:type="spellStart"/>
            <w:r w:rsidR="00877BBE">
              <w:t>a.a</w:t>
            </w:r>
            <w:proofErr w:type="spellEnd"/>
            <w:r w:rsidR="00877BBE">
              <w:t>. 202</w:t>
            </w:r>
            <w:r w:rsidR="00047D4C">
              <w:t>1</w:t>
            </w:r>
            <w:r w:rsidR="00877BBE">
              <w:t>/202</w:t>
            </w:r>
            <w:r w:rsidR="00047D4C">
              <w:t>2</w:t>
            </w:r>
          </w:p>
          <w:p w14:paraId="366A9329" w14:textId="77777777" w:rsidR="00877BBE" w:rsidRDefault="00877BBE" w:rsidP="00877BBE"/>
          <w:p w14:paraId="0F07FFB6" w14:textId="245D9D5C" w:rsidR="001B6492" w:rsidRDefault="001B6492" w:rsidP="00877BBE"/>
        </w:tc>
      </w:tr>
      <w:tr w:rsidR="00877BBE" w14:paraId="29C653C6" w14:textId="77777777" w:rsidTr="00877BBE">
        <w:tc>
          <w:tcPr>
            <w:tcW w:w="2547" w:type="dxa"/>
          </w:tcPr>
          <w:p w14:paraId="5BB87F7E" w14:textId="2AE1A33D" w:rsidR="00877BBE" w:rsidRPr="00877BBE" w:rsidRDefault="00877BBE" w:rsidP="00877BBE">
            <w:pPr>
              <w:rPr>
                <w:b/>
                <w:bCs/>
              </w:rPr>
            </w:pPr>
            <w:r>
              <w:rPr>
                <w:b/>
                <w:bCs/>
              </w:rPr>
              <w:t>Modalità di valutazione</w:t>
            </w:r>
          </w:p>
        </w:tc>
        <w:tc>
          <w:tcPr>
            <w:tcW w:w="7081" w:type="dxa"/>
          </w:tcPr>
          <w:p w14:paraId="764629EE" w14:textId="77777777" w:rsidR="00877BBE" w:rsidRDefault="00877BBE" w:rsidP="00877BBE"/>
          <w:p w14:paraId="37592563" w14:textId="2B012512" w:rsidR="001B6492" w:rsidRPr="00AA30FD" w:rsidRDefault="001B6492" w:rsidP="001B6492">
            <w:pPr>
              <w:pStyle w:val="Paragrafoelenco"/>
              <w:numPr>
                <w:ilvl w:val="0"/>
                <w:numId w:val="4"/>
              </w:numPr>
              <w:spacing w:after="120"/>
              <w:jc w:val="both"/>
            </w:pPr>
            <w:r w:rsidRPr="00AA30FD">
              <w:t>15 giugno restituzione dei </w:t>
            </w:r>
            <w:r w:rsidRPr="001B6492">
              <w:rPr>
                <w:i/>
                <w:iCs/>
              </w:rPr>
              <w:t>Report</w:t>
            </w:r>
            <w:r w:rsidRPr="00AA30FD">
              <w:t> di gruppo;</w:t>
            </w:r>
          </w:p>
          <w:p w14:paraId="72DBDBFD" w14:textId="74E972F2" w:rsidR="00877BBE" w:rsidRDefault="001B6492" w:rsidP="001B6492">
            <w:pPr>
              <w:pStyle w:val="Paragrafoelenco"/>
              <w:numPr>
                <w:ilvl w:val="0"/>
                <w:numId w:val="4"/>
              </w:numPr>
            </w:pPr>
            <w:r w:rsidRPr="00AA30FD">
              <w:t xml:space="preserve">Consegna dei certificati finali </w:t>
            </w:r>
            <w:proofErr w:type="spellStart"/>
            <w:r w:rsidRPr="00AA30FD">
              <w:t>Civis</w:t>
            </w:r>
            <w:proofErr w:type="spellEnd"/>
            <w:r w:rsidRPr="00AA30FD">
              <w:t xml:space="preserve"> ai partecipanti entro il 30 giugno.</w:t>
            </w:r>
          </w:p>
          <w:p w14:paraId="6DABB586" w14:textId="77777777" w:rsidR="00877BBE" w:rsidRDefault="00877BBE" w:rsidP="00877BBE"/>
          <w:p w14:paraId="4FFFF77D" w14:textId="77936C39" w:rsidR="00877BBE" w:rsidRDefault="00877BBE" w:rsidP="00877BBE"/>
        </w:tc>
      </w:tr>
      <w:tr w:rsidR="00877BBE" w14:paraId="2F16579A" w14:textId="77777777" w:rsidTr="00877BBE">
        <w:tc>
          <w:tcPr>
            <w:tcW w:w="2547" w:type="dxa"/>
          </w:tcPr>
          <w:p w14:paraId="608A7DF6" w14:textId="40A4C73B" w:rsidR="00877BBE" w:rsidRPr="00877BBE" w:rsidRDefault="00877BBE" w:rsidP="00877BBE">
            <w:pPr>
              <w:rPr>
                <w:b/>
                <w:bCs/>
              </w:rPr>
            </w:pPr>
            <w:r>
              <w:rPr>
                <w:b/>
                <w:bCs/>
              </w:rPr>
              <w:t>CFU</w:t>
            </w:r>
            <w:r w:rsidRPr="00877BBE">
              <w:rPr>
                <w:b/>
                <w:bCs/>
              </w:rPr>
              <w:t xml:space="preserve"> attribuiti</w:t>
            </w:r>
          </w:p>
        </w:tc>
        <w:tc>
          <w:tcPr>
            <w:tcW w:w="7081" w:type="dxa"/>
          </w:tcPr>
          <w:p w14:paraId="4897A820" w14:textId="77777777" w:rsidR="00877BBE" w:rsidRDefault="00877BBE" w:rsidP="00877BBE"/>
          <w:p w14:paraId="600BDE47" w14:textId="0B71E7AD" w:rsidR="00877BBE" w:rsidRDefault="001B6492" w:rsidP="00877BBE">
            <w:r>
              <w:t xml:space="preserve">6 </w:t>
            </w:r>
            <w:r w:rsidR="00821A7A">
              <w:t>CFU</w:t>
            </w:r>
          </w:p>
          <w:p w14:paraId="3DCECB63" w14:textId="77777777" w:rsidR="00877BBE" w:rsidRDefault="00877BBE" w:rsidP="00877BBE"/>
          <w:p w14:paraId="3C0F394F" w14:textId="425B2608" w:rsidR="00877BBE" w:rsidRDefault="00877BBE" w:rsidP="00877BBE"/>
        </w:tc>
      </w:tr>
      <w:tr w:rsidR="00877BBE" w14:paraId="043CC196" w14:textId="77777777" w:rsidTr="00877BBE">
        <w:tc>
          <w:tcPr>
            <w:tcW w:w="2547" w:type="dxa"/>
          </w:tcPr>
          <w:p w14:paraId="072B88DD" w14:textId="0FE452F1" w:rsidR="00877BBE" w:rsidRPr="00877BBE" w:rsidRDefault="00877BBE" w:rsidP="00877BBE">
            <w:pPr>
              <w:rPr>
                <w:b/>
                <w:bCs/>
              </w:rPr>
            </w:pPr>
          </w:p>
        </w:tc>
        <w:tc>
          <w:tcPr>
            <w:tcW w:w="7081" w:type="dxa"/>
          </w:tcPr>
          <w:p w14:paraId="2C2E3890" w14:textId="0F36D6CA" w:rsidR="00877BBE" w:rsidRDefault="00877BBE" w:rsidP="00877BBE"/>
        </w:tc>
      </w:tr>
    </w:tbl>
    <w:p w14:paraId="6F4896B1" w14:textId="73072471" w:rsidR="00877BBE" w:rsidRDefault="00877BBE" w:rsidP="00877BBE">
      <w:pPr>
        <w:jc w:val="both"/>
      </w:pPr>
    </w:p>
    <w:p w14:paraId="740DFE61" w14:textId="57E4CED7" w:rsidR="00877BBE" w:rsidRDefault="00877BBE" w:rsidP="00877BBE">
      <w:pPr>
        <w:jc w:val="both"/>
      </w:pPr>
    </w:p>
    <w:sectPr w:rsidR="00877BB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1B64" w14:textId="77777777" w:rsidR="009176F4" w:rsidRDefault="009176F4" w:rsidP="00877BBE">
      <w:r>
        <w:separator/>
      </w:r>
    </w:p>
  </w:endnote>
  <w:endnote w:type="continuationSeparator" w:id="0">
    <w:p w14:paraId="31E924C6" w14:textId="77777777" w:rsidR="009176F4" w:rsidRDefault="009176F4" w:rsidP="008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A8BE" w14:textId="77777777" w:rsidR="009176F4" w:rsidRDefault="009176F4" w:rsidP="00877BBE">
      <w:r>
        <w:separator/>
      </w:r>
    </w:p>
  </w:footnote>
  <w:footnote w:type="continuationSeparator" w:id="0">
    <w:p w14:paraId="24690267" w14:textId="77777777" w:rsidR="009176F4" w:rsidRDefault="009176F4" w:rsidP="0087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7940" w14:textId="11A97B88" w:rsidR="00877BBE" w:rsidRDefault="00877BBE" w:rsidP="00877BBE">
    <w:pPr>
      <w:pStyle w:val="Intestazione"/>
    </w:pPr>
    <w:r>
      <w:rPr>
        <w:noProof/>
      </w:rPr>
      <w:drawing>
        <wp:inline distT="0" distB="0" distL="0" distR="0" wp14:anchorId="507226F9" wp14:editId="464E0F13">
          <wp:extent cx="1938020" cy="832485"/>
          <wp:effectExtent l="0" t="0" r="508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832485"/>
                  </a:xfrm>
                  <a:prstGeom prst="rect">
                    <a:avLst/>
                  </a:prstGeom>
                  <a:noFill/>
                  <a:ln>
                    <a:noFill/>
                  </a:ln>
                </pic:spPr>
              </pic:pic>
            </a:graphicData>
          </a:graphic>
        </wp:inline>
      </w:drawing>
    </w:r>
  </w:p>
  <w:p w14:paraId="0E9584D0" w14:textId="77777777" w:rsidR="00877BBE" w:rsidRDefault="00877BBE" w:rsidP="00877BBE">
    <w:r>
      <w:rPr>
        <w:rFonts w:ascii="Baskerville Old Face" w:hAnsi="Baskerville Old Face"/>
        <w:color w:val="800000"/>
        <w:sz w:val="28"/>
        <w:szCs w:val="28"/>
      </w:rPr>
      <w:t>Dipartimento di Scienze Politiche</w:t>
    </w:r>
  </w:p>
  <w:p w14:paraId="1A279DA0" w14:textId="20630452" w:rsidR="00877BBE" w:rsidRDefault="00877BBE">
    <w:pPr>
      <w:pStyle w:val="Intestazione"/>
    </w:pPr>
  </w:p>
  <w:p w14:paraId="767BCE9C" w14:textId="77777777" w:rsidR="00877BBE" w:rsidRDefault="00877B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80A3A"/>
    <w:multiLevelType w:val="multilevel"/>
    <w:tmpl w:val="EEE0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EB7CB9"/>
    <w:multiLevelType w:val="hybridMultilevel"/>
    <w:tmpl w:val="B93E2424"/>
    <w:lvl w:ilvl="0" w:tplc="2556B1AC">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F34D53"/>
    <w:multiLevelType w:val="multilevel"/>
    <w:tmpl w:val="80FA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A604AB"/>
    <w:multiLevelType w:val="multilevel"/>
    <w:tmpl w:val="EEE0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E"/>
    <w:rsid w:val="00047D4C"/>
    <w:rsid w:val="001B6492"/>
    <w:rsid w:val="0024668D"/>
    <w:rsid w:val="002940E5"/>
    <w:rsid w:val="00821A7A"/>
    <w:rsid w:val="00877BBE"/>
    <w:rsid w:val="008A2C36"/>
    <w:rsid w:val="008A5E13"/>
    <w:rsid w:val="009176F4"/>
    <w:rsid w:val="00AA30FD"/>
    <w:rsid w:val="00B9664A"/>
    <w:rsid w:val="00FC2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33FF"/>
  <w15:chartTrackingRefBased/>
  <w15:docId w15:val="{2394FBF6-6C36-42BC-8681-A544C0E4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7BB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77BBE"/>
    <w:pPr>
      <w:tabs>
        <w:tab w:val="center" w:pos="4819"/>
        <w:tab w:val="right" w:pos="9638"/>
      </w:tabs>
    </w:pPr>
  </w:style>
  <w:style w:type="character" w:customStyle="1" w:styleId="IntestazioneCarattere">
    <w:name w:val="Intestazione Carattere"/>
    <w:basedOn w:val="Carpredefinitoparagrafo"/>
    <w:link w:val="Intestazione"/>
    <w:uiPriority w:val="99"/>
    <w:rsid w:val="00877BB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77BBE"/>
    <w:pPr>
      <w:tabs>
        <w:tab w:val="center" w:pos="4819"/>
        <w:tab w:val="right" w:pos="9638"/>
      </w:tabs>
    </w:pPr>
  </w:style>
  <w:style w:type="character" w:customStyle="1" w:styleId="PidipaginaCarattere">
    <w:name w:val="Piè di pagina Carattere"/>
    <w:basedOn w:val="Carpredefinitoparagrafo"/>
    <w:link w:val="Pidipagina"/>
    <w:uiPriority w:val="99"/>
    <w:rsid w:val="00877BBE"/>
    <w:rPr>
      <w:rFonts w:ascii="Times New Roman" w:eastAsia="Times New Roman" w:hAnsi="Times New Roman" w:cs="Times New Roman"/>
      <w:sz w:val="24"/>
      <w:szCs w:val="24"/>
      <w:lang w:eastAsia="it-IT"/>
    </w:rPr>
  </w:style>
  <w:style w:type="table" w:styleId="Grigliatabella">
    <w:name w:val="Table Grid"/>
    <w:basedOn w:val="Tabellanormale"/>
    <w:uiPriority w:val="39"/>
    <w:rsid w:val="0087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AA30FD"/>
    <w:pPr>
      <w:spacing w:before="100" w:beforeAutospacing="1" w:after="100" w:afterAutospacing="1"/>
    </w:pPr>
  </w:style>
  <w:style w:type="paragraph" w:styleId="Paragrafoelenco">
    <w:name w:val="List Paragraph"/>
    <w:basedOn w:val="Normale"/>
    <w:uiPriority w:val="34"/>
    <w:qFormat/>
    <w:rsid w:val="001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MARCHETTI</dc:creator>
  <cp:keywords/>
  <dc:description/>
  <cp:lastModifiedBy>Cancellieri Susanna</cp:lastModifiedBy>
  <cp:revision>2</cp:revision>
  <dcterms:created xsi:type="dcterms:W3CDTF">2022-01-17T08:08:00Z</dcterms:created>
  <dcterms:modified xsi:type="dcterms:W3CDTF">2022-01-17T08:08:00Z</dcterms:modified>
</cp:coreProperties>
</file>