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7" w:rsidRDefault="00325258">
      <w:r>
        <w:t>ELENCO</w:t>
      </w:r>
      <w:bookmarkStart w:id="0" w:name="_GoBack"/>
      <w:bookmarkEnd w:id="0"/>
      <w:r>
        <w:t xml:space="preserve"> DOMANDE DELL’</w:t>
      </w:r>
      <w:r w:rsidR="00751FBD">
        <w:t xml:space="preserve"> ESONERO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 xml:space="preserve">Il </w:t>
      </w:r>
      <w:r w:rsidR="008454F7">
        <w:t>c</w:t>
      </w:r>
      <w:r>
        <w:t>oncetto di ordinamento giuridico</w:t>
      </w:r>
    </w:p>
    <w:p w:rsidR="00751FBD" w:rsidRDefault="008454F7" w:rsidP="00751FBD">
      <w:pPr>
        <w:pStyle w:val="Paragrafoelenco"/>
        <w:numPr>
          <w:ilvl w:val="0"/>
          <w:numId w:val="1"/>
        </w:numPr>
      </w:pPr>
      <w:r>
        <w:t>I cara</w:t>
      </w:r>
      <w:r w:rsidR="00751FBD">
        <w:t>tteri della norma giuridica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L’ordinamento giuridico statale e</w:t>
      </w:r>
      <w:r w:rsidR="008454F7">
        <w:t xml:space="preserve"> </w:t>
      </w:r>
      <w:r>
        <w:t>i suoi elementi costitutivi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cittadinanza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forma di stato e la forma di governo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Lo Stato assoluto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Lo Stato liberale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Lo Stato sociale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 xml:space="preserve">Lo Stato accentrato </w:t>
      </w:r>
      <w:r w:rsidR="00401F65">
        <w:t>(</w:t>
      </w:r>
      <w:r>
        <w:t>o unitario</w:t>
      </w:r>
      <w:r w:rsidR="00401F65">
        <w:t>)</w:t>
      </w:r>
      <w:r>
        <w:t>, lo Stato federale e lo Stato regionale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monarchia assoluta e la monarchia costituzionale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forma di governo parlamentare</w:t>
      </w:r>
    </w:p>
    <w:p w:rsidR="00751FBD" w:rsidRDefault="008454F7" w:rsidP="00751FBD">
      <w:pPr>
        <w:pStyle w:val="Paragrafoelenco"/>
        <w:numPr>
          <w:ilvl w:val="0"/>
          <w:numId w:val="1"/>
        </w:numPr>
      </w:pPr>
      <w:r>
        <w:t>La forma di go</w:t>
      </w:r>
      <w:r w:rsidR="00751FBD">
        <w:t>verno presidenziale e semipresidenziale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Le caratteristiche fondamentali dello Statuto albertino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Dal patto di Salerno al referendum istituzionale del 2 giugno del 1946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Il concetto di fonte del diritto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Le fonti sulla produzione e le fonti di cognizione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Fonte, disposizione e norma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Il criterio cronologico di risoluzione delle antinomie normative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Il criterio gerarchico di risoluzione delle antinomie normative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Il criterio della competenza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L’abrogazione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L’annullamento</w:t>
      </w:r>
    </w:p>
    <w:p w:rsidR="00751FBD" w:rsidRDefault="00401F65" w:rsidP="00751FBD">
      <w:pPr>
        <w:pStyle w:val="Paragrafoelenco"/>
        <w:numPr>
          <w:ilvl w:val="0"/>
          <w:numId w:val="1"/>
        </w:numPr>
      </w:pPr>
      <w:r>
        <w:t>I vari ti</w:t>
      </w:r>
      <w:r w:rsidR="00751FBD">
        <w:t>pi di Costituzione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Il procedimento di revisione costituzionale</w:t>
      </w:r>
    </w:p>
    <w:p w:rsidR="00325258" w:rsidRDefault="00325258" w:rsidP="00751FBD">
      <w:pPr>
        <w:pStyle w:val="Paragrafoelenco"/>
        <w:numPr>
          <w:ilvl w:val="0"/>
          <w:numId w:val="1"/>
        </w:numPr>
      </w:pPr>
      <w:r>
        <w:t>I limiti alla revisione costituzionale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riserva di legge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Il principio di legalità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L’iter legis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riserva d’assemblea</w:t>
      </w:r>
    </w:p>
    <w:p w:rsidR="00325258" w:rsidRDefault="00325258" w:rsidP="00751FBD">
      <w:pPr>
        <w:pStyle w:val="Paragrafoelenco"/>
        <w:numPr>
          <w:ilvl w:val="0"/>
          <w:numId w:val="1"/>
        </w:numPr>
      </w:pPr>
      <w:r>
        <w:t>La legge di bilancio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“forza di legge”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Il decreto legge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reiterazione dei decreti legge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sindacabilità dei decreti legge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Il decreto legislativo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L’ “eccesso” di delega</w:t>
      </w:r>
      <w:r w:rsidR="008454F7">
        <w:t xml:space="preserve"> legislativa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Il referendum abrogativo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L’ammissibilità del quesito referendario</w:t>
      </w:r>
    </w:p>
    <w:p w:rsidR="00483F4A" w:rsidRPr="00483F4A" w:rsidRDefault="00483F4A" w:rsidP="00751FBD">
      <w:pPr>
        <w:pStyle w:val="Paragrafoelenco"/>
        <w:numPr>
          <w:ilvl w:val="0"/>
          <w:numId w:val="1"/>
        </w:numPr>
        <w:rPr>
          <w:highlight w:val="yellow"/>
        </w:rPr>
      </w:pPr>
      <w:r w:rsidRPr="00483F4A">
        <w:rPr>
          <w:highlight w:val="yellow"/>
        </w:rPr>
        <w:t>I regolamenti parlamentari</w:t>
      </w:r>
    </w:p>
    <w:p w:rsidR="00325258" w:rsidRDefault="00325258" w:rsidP="00751FBD">
      <w:pPr>
        <w:pStyle w:val="Paragrafoelenco"/>
        <w:numPr>
          <w:ilvl w:val="0"/>
          <w:numId w:val="1"/>
        </w:numPr>
      </w:pPr>
      <w:r>
        <w:t>Le fonti dell’UE</w:t>
      </w:r>
      <w:r w:rsidR="00751FBD">
        <w:t xml:space="preserve"> </w:t>
      </w:r>
      <w:r>
        <w:t>(direttive e regolamenti)</w:t>
      </w:r>
    </w:p>
    <w:p w:rsidR="00751FBD" w:rsidRDefault="00325258" w:rsidP="00751FBD">
      <w:pPr>
        <w:pStyle w:val="Paragrafoelenco"/>
        <w:numPr>
          <w:ilvl w:val="0"/>
          <w:numId w:val="1"/>
        </w:numPr>
      </w:pPr>
      <w:r>
        <w:t>I</w:t>
      </w:r>
      <w:r w:rsidR="00751FBD">
        <w:t>l “cammino” comunitario della Corte costituzionale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potestà legislativa regionale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I regolamenti dell’esecutivo</w:t>
      </w:r>
    </w:p>
    <w:p w:rsidR="00751FBD" w:rsidRDefault="00751FBD" w:rsidP="00751FBD">
      <w:pPr>
        <w:pStyle w:val="Paragrafoelenco"/>
        <w:numPr>
          <w:ilvl w:val="0"/>
          <w:numId w:val="1"/>
        </w:numPr>
      </w:pPr>
      <w:r>
        <w:t>La delegificazione</w:t>
      </w:r>
    </w:p>
    <w:sectPr w:rsidR="00751FBD" w:rsidSect="009E5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C6196"/>
    <w:multiLevelType w:val="hybridMultilevel"/>
    <w:tmpl w:val="E9669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BD"/>
    <w:rsid w:val="00325258"/>
    <w:rsid w:val="00401F65"/>
    <w:rsid w:val="00483F4A"/>
    <w:rsid w:val="00751FBD"/>
    <w:rsid w:val="008454F7"/>
    <w:rsid w:val="009E5B47"/>
    <w:rsid w:val="00B40D6C"/>
    <w:rsid w:val="00F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0CE3"/>
  <w15:docId w15:val="{43825BC4-D7C0-4E07-9A05-E4D4AE5B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Lamberti</dc:creator>
  <cp:lastModifiedBy>utente</cp:lastModifiedBy>
  <cp:revision>2</cp:revision>
  <dcterms:created xsi:type="dcterms:W3CDTF">2018-11-09T09:12:00Z</dcterms:created>
  <dcterms:modified xsi:type="dcterms:W3CDTF">2018-11-09T09:12:00Z</dcterms:modified>
</cp:coreProperties>
</file>