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05C" w:rsidRDefault="0097205C">
      <w:pPr>
        <w:jc w:val="center"/>
        <w:rPr>
          <w:rFonts w:ascii="Times New Roman" w:eastAsia="Times New Roman" w:hAnsi="Times New Roman" w:cs="Times New Roman"/>
          <w:b/>
          <w:sz w:val="24"/>
          <w:szCs w:val="24"/>
        </w:rPr>
      </w:pPr>
      <w:bookmarkStart w:id="0" w:name="_heading=h.wald9u875cea" w:colFirst="0" w:colLast="0"/>
      <w:bookmarkEnd w:id="0"/>
    </w:p>
    <w:p w14:paraId="00000002" w14:textId="77777777" w:rsidR="0097205C" w:rsidRDefault="00000000">
      <w:pPr>
        <w:spacing w:after="0" w:line="240" w:lineRule="auto"/>
        <w:jc w:val="right"/>
        <w:rPr>
          <w:rFonts w:ascii="Arial" w:eastAsia="Arial" w:hAnsi="Arial" w:cs="Arial"/>
          <w:b/>
          <w:sz w:val="24"/>
          <w:szCs w:val="24"/>
          <w:u w:val="single"/>
        </w:rPr>
      </w:pPr>
      <w:r>
        <w:rPr>
          <w:rFonts w:ascii="Arial" w:eastAsia="Arial" w:hAnsi="Arial" w:cs="Arial"/>
          <w:b/>
          <w:sz w:val="24"/>
          <w:szCs w:val="24"/>
          <w:u w:val="single"/>
        </w:rPr>
        <w:t xml:space="preserve">Allegato 2      </w:t>
      </w:r>
    </w:p>
    <w:p w14:paraId="00000003" w14:textId="77777777" w:rsidR="0097205C" w:rsidRDefault="0097205C">
      <w:pPr>
        <w:spacing w:after="0" w:line="240" w:lineRule="auto"/>
        <w:rPr>
          <w:rFonts w:ascii="Tahoma" w:eastAsia="Tahoma" w:hAnsi="Tahoma" w:cs="Tahoma"/>
          <w:sz w:val="24"/>
          <w:szCs w:val="24"/>
        </w:rPr>
      </w:pPr>
    </w:p>
    <w:p w14:paraId="00000004" w14:textId="77777777" w:rsidR="0097205C" w:rsidRDefault="00000000">
      <w:pPr>
        <w:spacing w:before="113" w:after="0" w:line="240" w:lineRule="auto"/>
        <w:rPr>
          <w:rFonts w:ascii="Arial" w:eastAsia="Arial" w:hAnsi="Arial" w:cs="Arial"/>
          <w:b/>
          <w:color w:val="FF0000"/>
          <w:sz w:val="20"/>
          <w:szCs w:val="20"/>
          <w:highlight w:val="yellow"/>
        </w:rPr>
      </w:pPr>
      <w:r>
        <w:rPr>
          <w:rFonts w:ascii="Arial" w:eastAsia="Arial" w:hAnsi="Arial" w:cs="Arial"/>
          <w:b/>
          <w:color w:val="FF0000"/>
          <w:sz w:val="20"/>
          <w:szCs w:val="20"/>
          <w:highlight w:val="yellow"/>
        </w:rPr>
        <w:t xml:space="preserve">DA PRESENTARE </w:t>
      </w:r>
    </w:p>
    <w:p w14:paraId="00000005" w14:textId="77777777" w:rsidR="0097205C" w:rsidRDefault="00000000">
      <w:pPr>
        <w:spacing w:before="113" w:after="0" w:line="240" w:lineRule="auto"/>
        <w:rPr>
          <w:rFonts w:ascii="Arial" w:eastAsia="Arial" w:hAnsi="Arial" w:cs="Arial"/>
          <w:b/>
          <w:color w:val="FF0000"/>
          <w:sz w:val="20"/>
          <w:szCs w:val="20"/>
          <w:highlight w:val="yellow"/>
        </w:rPr>
      </w:pPr>
      <w:r>
        <w:rPr>
          <w:rFonts w:ascii="Arial" w:eastAsia="Arial" w:hAnsi="Arial" w:cs="Arial"/>
          <w:b/>
          <w:color w:val="FF0000"/>
          <w:sz w:val="20"/>
          <w:szCs w:val="20"/>
          <w:highlight w:val="yellow"/>
        </w:rPr>
        <w:t xml:space="preserve">SU CARTA INTESTATA </w:t>
      </w:r>
    </w:p>
    <w:p w14:paraId="00000006" w14:textId="77777777" w:rsidR="0097205C" w:rsidRDefault="00000000">
      <w:pPr>
        <w:spacing w:before="113" w:after="0" w:line="240" w:lineRule="auto"/>
        <w:rPr>
          <w:rFonts w:ascii="Arial" w:eastAsia="Arial" w:hAnsi="Arial" w:cs="Arial"/>
          <w:b/>
          <w:color w:val="FF0000"/>
          <w:sz w:val="20"/>
          <w:szCs w:val="20"/>
        </w:rPr>
      </w:pPr>
      <w:r>
        <w:rPr>
          <w:rFonts w:ascii="Arial" w:eastAsia="Arial" w:hAnsi="Arial" w:cs="Arial"/>
          <w:b/>
          <w:color w:val="FF0000"/>
          <w:sz w:val="20"/>
          <w:szCs w:val="20"/>
          <w:highlight w:val="yellow"/>
        </w:rPr>
        <w:t xml:space="preserve">DELL’OPERATORE ECONOMICO </w:t>
      </w:r>
    </w:p>
    <w:p w14:paraId="00000007" w14:textId="77777777" w:rsidR="0097205C" w:rsidRDefault="0097205C">
      <w:pPr>
        <w:spacing w:after="0" w:line="240" w:lineRule="auto"/>
        <w:rPr>
          <w:rFonts w:ascii="Arial" w:eastAsia="Arial" w:hAnsi="Arial" w:cs="Arial"/>
          <w:b/>
          <w:color w:val="FF0000"/>
          <w:sz w:val="20"/>
          <w:szCs w:val="20"/>
        </w:rPr>
      </w:pPr>
    </w:p>
    <w:p w14:paraId="00000008" w14:textId="77777777" w:rsidR="0097205C" w:rsidRDefault="0097205C">
      <w:pPr>
        <w:spacing w:after="0" w:line="240" w:lineRule="auto"/>
        <w:rPr>
          <w:rFonts w:ascii="Arial" w:eastAsia="Arial" w:hAnsi="Arial" w:cs="Arial"/>
          <w:sz w:val="20"/>
          <w:szCs w:val="20"/>
        </w:rPr>
      </w:pPr>
    </w:p>
    <w:p w14:paraId="00000009" w14:textId="77777777" w:rsidR="0097205C" w:rsidRDefault="00000000">
      <w:pPr>
        <w:spacing w:before="6" w:after="0" w:line="280" w:lineRule="auto"/>
        <w:ind w:left="4254" w:hanging="268"/>
        <w:rPr>
          <w:rFonts w:ascii="Arial" w:eastAsia="Arial" w:hAnsi="Arial" w:cs="Arial"/>
          <w:smallCaps/>
        </w:rPr>
      </w:pPr>
      <w:r>
        <w:rPr>
          <w:rFonts w:ascii="Arial" w:eastAsia="Arial" w:hAnsi="Arial" w:cs="Arial"/>
          <w:smallCaps/>
        </w:rPr>
        <w:t>AL</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mallCaps/>
        </w:rPr>
        <w:t xml:space="preserve">DIPARTIMENTO DI INGEGNERIA DELL’INFORMAZIONE ELETTRONICA E TELECOMUNICAZIONI </w:t>
      </w:r>
    </w:p>
    <w:p w14:paraId="0000000A" w14:textId="77777777" w:rsidR="0097205C" w:rsidRDefault="00000000">
      <w:pPr>
        <w:spacing w:before="6" w:after="0" w:line="280" w:lineRule="auto"/>
        <w:ind w:left="4980" w:hanging="728"/>
        <w:rPr>
          <w:rFonts w:ascii="Arial" w:eastAsia="Arial" w:hAnsi="Arial" w:cs="Arial"/>
          <w:smallCaps/>
        </w:rPr>
      </w:pPr>
      <w:r>
        <w:rPr>
          <w:rFonts w:ascii="Arial" w:eastAsia="Arial" w:hAnsi="Arial" w:cs="Arial"/>
          <w:smallCaps/>
        </w:rPr>
        <w:t xml:space="preserve">SAPIENZA UNIVERSITÀ DI ROMA </w:t>
      </w:r>
    </w:p>
    <w:p w14:paraId="0000000B" w14:textId="77777777" w:rsidR="0097205C" w:rsidRDefault="00000000">
      <w:pPr>
        <w:spacing w:before="6" w:after="0" w:line="280" w:lineRule="auto"/>
        <w:ind w:left="3545" w:firstLine="708"/>
        <w:rPr>
          <w:rFonts w:ascii="Arial" w:eastAsia="Arial" w:hAnsi="Arial" w:cs="Arial"/>
          <w:smallCaps/>
        </w:rPr>
      </w:pPr>
      <w:r>
        <w:rPr>
          <w:rFonts w:ascii="Arial" w:eastAsia="Arial" w:hAnsi="Arial" w:cs="Arial"/>
          <w:smallCaps/>
        </w:rPr>
        <w:t>VIA EUDOSSIANA, 18 - 00184 ROMA</w:t>
      </w:r>
    </w:p>
    <w:p w14:paraId="0000000C" w14:textId="77777777" w:rsidR="0097205C" w:rsidRDefault="00000000">
      <w:pPr>
        <w:spacing w:before="6" w:after="0" w:line="280" w:lineRule="auto"/>
        <w:ind w:left="3545" w:firstLine="708"/>
        <w:rPr>
          <w:rFonts w:ascii="Arial" w:eastAsia="Arial" w:hAnsi="Arial" w:cs="Arial"/>
          <w:sz w:val="20"/>
          <w:szCs w:val="20"/>
        </w:rPr>
      </w:pPr>
      <w:r>
        <w:rPr>
          <w:rFonts w:ascii="Arial" w:eastAsia="Arial" w:hAnsi="Arial" w:cs="Arial"/>
          <w:smallCaps/>
        </w:rPr>
        <w:t>PEC</w:t>
      </w:r>
      <w:r>
        <w:rPr>
          <w:rFonts w:ascii="Arial" w:eastAsia="Arial" w:hAnsi="Arial" w:cs="Arial"/>
          <w:sz w:val="20"/>
          <w:szCs w:val="20"/>
        </w:rPr>
        <w:t xml:space="preserve">: </w:t>
      </w:r>
      <w:r>
        <w:rPr>
          <w:rFonts w:ascii="Arial" w:eastAsia="Arial" w:hAnsi="Arial" w:cs="Arial"/>
          <w:color w:val="0000FF"/>
          <w:sz w:val="20"/>
          <w:szCs w:val="20"/>
        </w:rPr>
        <w:t>diet.pec@cert.uniroma1.it</w:t>
      </w:r>
    </w:p>
    <w:p w14:paraId="0000000D" w14:textId="77777777" w:rsidR="0097205C" w:rsidRDefault="0097205C">
      <w:pPr>
        <w:spacing w:before="6" w:after="0" w:line="280" w:lineRule="auto"/>
        <w:ind w:left="3545" w:firstLine="708"/>
        <w:rPr>
          <w:rFonts w:ascii="Arial" w:eastAsia="Arial" w:hAnsi="Arial" w:cs="Arial"/>
          <w:sz w:val="20"/>
          <w:szCs w:val="20"/>
        </w:rPr>
      </w:pPr>
    </w:p>
    <w:p w14:paraId="0000000E" w14:textId="77777777" w:rsidR="0097205C" w:rsidRDefault="0097205C">
      <w:pPr>
        <w:spacing w:after="0" w:line="240" w:lineRule="auto"/>
        <w:jc w:val="both"/>
        <w:rPr>
          <w:rFonts w:ascii="Arial" w:eastAsia="Arial" w:hAnsi="Arial" w:cs="Arial"/>
          <w:b/>
          <w:i/>
          <w:sz w:val="20"/>
          <w:szCs w:val="20"/>
        </w:rPr>
      </w:pPr>
    </w:p>
    <w:p w14:paraId="0000000F" w14:textId="77777777" w:rsidR="0097205C" w:rsidRDefault="0097205C">
      <w:pPr>
        <w:spacing w:after="0" w:line="240" w:lineRule="auto"/>
        <w:jc w:val="both"/>
        <w:rPr>
          <w:rFonts w:ascii="Arial" w:eastAsia="Arial" w:hAnsi="Arial" w:cs="Arial"/>
          <w:sz w:val="20"/>
          <w:szCs w:val="20"/>
        </w:rPr>
      </w:pPr>
    </w:p>
    <w:p w14:paraId="00000010" w14:textId="7DEF2600" w:rsidR="0097205C" w:rsidRDefault="00000000">
      <w:pPr>
        <w:spacing w:after="0" w:line="240" w:lineRule="auto"/>
        <w:ind w:left="1410"/>
        <w:jc w:val="both"/>
        <w:rPr>
          <w:rFonts w:ascii="Arial" w:eastAsia="Arial" w:hAnsi="Arial" w:cs="Arial"/>
          <w:b/>
        </w:rPr>
      </w:pPr>
      <w:r>
        <w:rPr>
          <w:rFonts w:ascii="Arial" w:eastAsia="Arial" w:hAnsi="Arial" w:cs="Arial"/>
          <w:b/>
          <w:sz w:val="20"/>
          <w:szCs w:val="20"/>
        </w:rPr>
        <w:t xml:space="preserve">Oggetto: </w:t>
      </w:r>
      <w:r>
        <w:rPr>
          <w:rFonts w:ascii="Arial" w:eastAsia="Arial" w:hAnsi="Arial" w:cs="Arial"/>
          <w:b/>
          <w:sz w:val="20"/>
          <w:szCs w:val="20"/>
        </w:rPr>
        <w:tab/>
      </w:r>
      <w:r>
        <w:rPr>
          <w:rFonts w:ascii="Times New Roman" w:eastAsia="Times New Roman" w:hAnsi="Times New Roman" w:cs="Times New Roman"/>
          <w:b/>
          <w:sz w:val="24"/>
          <w:szCs w:val="24"/>
        </w:rPr>
        <w:t xml:space="preserve">AVVISO ESPLORATIVO PER L’AFFIDAMENTO DEL SERVIZIO DI MANUTENZIONE </w:t>
      </w:r>
      <w:r w:rsidR="00FA68F7">
        <w:rPr>
          <w:rFonts w:ascii="Times New Roman" w:eastAsia="Times New Roman" w:hAnsi="Times New Roman" w:cs="Times New Roman"/>
          <w:b/>
          <w:sz w:val="24"/>
          <w:szCs w:val="24"/>
        </w:rPr>
        <w:t xml:space="preserve">FABBRO-SERRAMENTISTA ORDINARIA PER IL </w:t>
      </w:r>
      <w:r>
        <w:rPr>
          <w:rFonts w:ascii="Times New Roman" w:eastAsia="Times New Roman" w:hAnsi="Times New Roman" w:cs="Times New Roman"/>
          <w:b/>
          <w:sz w:val="24"/>
          <w:szCs w:val="24"/>
        </w:rPr>
        <w:t>DIPARTIMENTO DI INGEGNERIA DELL’INFORMAZIONE ELETTRONICA E TELECOMUNICAZIONI (EDIFICI RM032 E RM031), VIA EUDOSSIANA</w:t>
      </w:r>
      <w:r>
        <w:rPr>
          <w:rFonts w:ascii="Arial" w:eastAsia="Arial" w:hAnsi="Arial" w:cs="Arial"/>
          <w:b/>
        </w:rPr>
        <w:t>, N. 18 ROMA.</w:t>
      </w:r>
    </w:p>
    <w:p w14:paraId="00000011" w14:textId="77777777" w:rsidR="0097205C" w:rsidRDefault="00000000">
      <w:pPr>
        <w:spacing w:after="0" w:line="240" w:lineRule="auto"/>
        <w:ind w:left="141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DICHIARAZIONE SOSTITUTIVA DELL’ATTO DI NOTORIETA’ ai sensi  dell’art. 47 D.P.R. 28 dicembre 2000, n.445)</w:t>
      </w:r>
    </w:p>
    <w:p w14:paraId="00000012" w14:textId="77777777" w:rsidR="0097205C" w:rsidRDefault="0097205C">
      <w:pPr>
        <w:rPr>
          <w:rFonts w:ascii="Times New Roman" w:eastAsia="Times New Roman" w:hAnsi="Times New Roman" w:cs="Times New Roman"/>
          <w:sz w:val="24"/>
          <w:szCs w:val="24"/>
        </w:rPr>
      </w:pPr>
    </w:p>
    <w:p w14:paraId="00000013" w14:textId="77777777" w:rsidR="0097205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sottoscritto/a__________________________ nato/a a _________________(___________) C.F.__________________________________________________________________Residente in _________________________________________________________________ (pr. _______) Via ______________________________________________ n. _____________________ in qualità di legale rappresentante dell'Impresa __________________________________________________ Con sede legale in ______________________________________________________________ (pr. _______) Codice fiscale n. ______________________________________________ Partita IVA ________________________</w:t>
      </w:r>
    </w:p>
    <w:p w14:paraId="00000014" w14:textId="77777777" w:rsidR="0097205C" w:rsidRDefault="00000000">
      <w:pPr>
        <w:jc w:val="both"/>
        <w:rPr>
          <w:sz w:val="24"/>
          <w:szCs w:val="24"/>
        </w:rPr>
      </w:pPr>
      <w:r>
        <w:rPr>
          <w:rFonts w:ascii="Times New Roman" w:eastAsia="Times New Roman" w:hAnsi="Times New Roman" w:cs="Times New Roman"/>
          <w:sz w:val="24"/>
          <w:szCs w:val="24"/>
        </w:rPr>
        <w:t>consapevole delle sanzioni penali richiamate dall’art.76 del d.P.R. 28.12.2000 n.445, in caso di dichiarazioni mendaci e di formazione o uso di atti falsi nonché, delle conseguenze previste dal Decreto Legislativo n. 36 del 31 marzo 2023 “Codice dei contratti pubblici in attuazione dell’articolo 1 della legge 21 giugno 2022 n. 78, recante delega al Governo in materia di contratti pubblici”, in caso di accertamento della mendacia delle dichiarazioni rese</w:t>
      </w:r>
    </w:p>
    <w:p w14:paraId="00000015" w14:textId="77777777" w:rsidR="0097205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 SOTTO LA PROPRIA RESPONSABILITÀ</w:t>
      </w:r>
    </w:p>
    <w:p w14:paraId="00000016" w14:textId="77777777" w:rsidR="0097205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in possesso dei requisiti di partecipazione e di qualificazione richiesti per l’affidamento dell’appalto relativo a quanto in oggetto;</w:t>
      </w:r>
    </w:p>
    <w:p w14:paraId="00000017" w14:textId="77777777" w:rsidR="0097205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Segnatamente, dichiara:</w:t>
      </w:r>
    </w:p>
    <w:p w14:paraId="00000018" w14:textId="77777777" w:rsidR="0097205C" w:rsidRDefault="00000000">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 non trovarsi in nessuna delle CAUSE DI ESCLUSIONE AUTOMATICA dalla partecipazione a una procedura d'appalto previste dall’articolo 94</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del Decreto Legislativo n. 36 del </w:t>
      </w:r>
      <w:r>
        <w:rPr>
          <w:rFonts w:ascii="Times New Roman" w:eastAsia="Times New Roman" w:hAnsi="Times New Roman" w:cs="Times New Roman"/>
          <w:color w:val="000000"/>
          <w:sz w:val="24"/>
          <w:szCs w:val="24"/>
        </w:rPr>
        <w:lastRenderedPageBreak/>
        <w:t>31 marzo 2023 “Codice dei contratti pubblici in attuazione dell’articolo 1 della legge 21 giugno 2022 n. 78, recante delega al Governo in materia di contratti pubblici”;</w:t>
      </w:r>
    </w:p>
    <w:p w14:paraId="00000019" w14:textId="77777777" w:rsidR="0097205C" w:rsidRDefault="00000000">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non trovarsi in nessuna delle CAUSE DI ESCLUSIONE NON AUTOMATICA previste dall’art. 95</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del medesimo decreto legislativo;</w:t>
      </w:r>
    </w:p>
    <w:p w14:paraId="0000001A" w14:textId="77777777" w:rsidR="0097205C" w:rsidRDefault="00000000">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dei REQUISITI DI ORDINE SPECIALE (idoneità professionale, capacità economica e finanziaria e capacità tecniche e professionali) previsti dall’articolo 100 del D.Lgs. 36/2023</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ovvero, di essere iscritto nel registro della camera di commercio, industria, </w:t>
      </w:r>
      <w:r>
        <w:rPr>
          <w:rFonts w:ascii="Times New Roman" w:eastAsia="Times New Roman" w:hAnsi="Times New Roman" w:cs="Times New Roman"/>
          <w:color w:val="000000"/>
          <w:sz w:val="24"/>
          <w:szCs w:val="24"/>
        </w:rPr>
        <w:lastRenderedPageBreak/>
        <w:t>artigianato e agricoltura o nel registro delle commissioni provinciali per l'artigianato o presso i competenti ordini professionali per un'attività pertinente anche se non coincidente con l'oggetto dell'appalto. Segnatamente dichiara che:</w:t>
      </w:r>
    </w:p>
    <w:p w14:paraId="0000001B"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1C" w14:textId="77777777" w:rsidR="0097205C"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L'Impresa è iscritta, per attività inerenti l’oggetto della fornitura, al Registro delle Imprese </w:t>
      </w:r>
    </w:p>
    <w:p w14:paraId="0000001D"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1E" w14:textId="77777777" w:rsidR="0097205C"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presso la CCIAA di ___________________________________________________ al </w:t>
      </w:r>
    </w:p>
    <w:p w14:paraId="0000001F"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0" w14:textId="77777777" w:rsidR="0097205C"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n.______________________________________________ </w:t>
      </w:r>
    </w:p>
    <w:p w14:paraId="00000021" w14:textId="77777777" w:rsidR="0097205C"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amministratori muniti di rappresentanza sono (indicare Nome, Cognome e codice fiscale):</w:t>
      </w:r>
    </w:p>
    <w:p w14:paraId="00000022"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3" w14:textId="77777777" w:rsidR="0097205C"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w:t>
      </w:r>
    </w:p>
    <w:p w14:paraId="00000024"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5" w14:textId="77777777" w:rsidR="0097205C"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 </w:t>
      </w:r>
    </w:p>
    <w:p w14:paraId="00000026"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7" w14:textId="77777777" w:rsidR="0097205C"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L’Impresa ha n. ______________ dipendenti afferenti le seguenti posizioni: </w:t>
      </w:r>
    </w:p>
    <w:p w14:paraId="00000028" w14:textId="77777777" w:rsidR="0097205C" w:rsidRDefault="0097205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29" w14:textId="77777777" w:rsidR="0097205C"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Iscrizione INPS matricola n. _________________________ sede competente___________________________________________ </w:t>
      </w:r>
    </w:p>
    <w:p w14:paraId="0000002A" w14:textId="77777777" w:rsidR="0097205C" w:rsidRDefault="0097205C">
      <w:pPr>
        <w:pBdr>
          <w:top w:val="nil"/>
          <w:left w:val="nil"/>
          <w:bottom w:val="nil"/>
          <w:right w:val="nil"/>
          <w:between w:val="nil"/>
        </w:pBdr>
        <w:spacing w:after="0"/>
        <w:ind w:left="1068"/>
        <w:jc w:val="both"/>
        <w:rPr>
          <w:rFonts w:ascii="Times New Roman" w:eastAsia="Times New Roman" w:hAnsi="Times New Roman" w:cs="Times New Roman"/>
          <w:color w:val="000000"/>
          <w:sz w:val="24"/>
          <w:szCs w:val="24"/>
        </w:rPr>
      </w:pPr>
    </w:p>
    <w:p w14:paraId="0000002B" w14:textId="77777777" w:rsidR="0097205C"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Iscrizione INAIL codice n. ______________________________</w:t>
      </w:r>
    </w:p>
    <w:p w14:paraId="0000002C" w14:textId="77777777" w:rsidR="0097205C" w:rsidRDefault="0097205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D" w14:textId="77777777" w:rsidR="0097205C"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Iscrizione Cassa Edile__________________________________</w:t>
      </w:r>
    </w:p>
    <w:p w14:paraId="0000002E" w14:textId="77777777" w:rsidR="0097205C" w:rsidRDefault="0097205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F" w14:textId="77777777" w:rsidR="0097205C"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regola alla data del ___________________________ con i versamenti INPS e INAIL;</w:t>
      </w:r>
    </w:p>
    <w:p w14:paraId="00000030" w14:textId="5A91C92E" w:rsidR="0097205C"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 non esistono inadempienze in atto e rettifiche notificate, non contestate o non pagate ovvero, che è stata conseguita procedura di sanatoria, positivamente definita con atto dell'ente interessato del quale si forniscono gli estremi:</w:t>
      </w:r>
      <w:r w:rsidR="00FA68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_____________________________________.</w:t>
      </w:r>
    </w:p>
    <w:p w14:paraId="00000031"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32"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33" w14:textId="77777777" w:rsidR="0097205C"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w:t>
      </w:r>
    </w:p>
    <w:p w14:paraId="00000034"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35"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36"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37" w14:textId="77777777" w:rsidR="0097205C" w:rsidRDefault="00000000">
      <w:pPr>
        <w:pBdr>
          <w:top w:val="nil"/>
          <w:left w:val="nil"/>
          <w:bottom w:val="nil"/>
          <w:right w:val="nil"/>
          <w:between w:val="nil"/>
        </w:pBd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FIRMA DEL DICHIARANTE</w:t>
      </w:r>
      <w:r>
        <w:rPr>
          <w:rFonts w:ascii="Times New Roman" w:eastAsia="Times New Roman" w:hAnsi="Times New Roman" w:cs="Times New Roman"/>
          <w:color w:val="000000"/>
          <w:sz w:val="24"/>
          <w:szCs w:val="24"/>
          <w:vertAlign w:val="superscript"/>
        </w:rPr>
        <w:footnoteReference w:id="4"/>
      </w:r>
    </w:p>
    <w:p w14:paraId="00000038" w14:textId="77777777" w:rsidR="0097205C" w:rsidRDefault="0097205C">
      <w:pPr>
        <w:pBdr>
          <w:top w:val="nil"/>
          <w:left w:val="nil"/>
          <w:bottom w:val="nil"/>
          <w:right w:val="nil"/>
          <w:between w:val="nil"/>
        </w:pBdr>
        <w:spacing w:after="0"/>
        <w:jc w:val="right"/>
        <w:rPr>
          <w:rFonts w:ascii="Times New Roman" w:eastAsia="Times New Roman" w:hAnsi="Times New Roman" w:cs="Times New Roman"/>
          <w:color w:val="000000"/>
          <w:sz w:val="24"/>
          <w:szCs w:val="24"/>
        </w:rPr>
      </w:pPr>
    </w:p>
    <w:p w14:paraId="00000039" w14:textId="77777777" w:rsidR="0097205C" w:rsidRDefault="00000000">
      <w:pPr>
        <w:pBdr>
          <w:top w:val="nil"/>
          <w:left w:val="nil"/>
          <w:bottom w:val="nil"/>
          <w:right w:val="nil"/>
          <w:between w:val="nil"/>
        </w:pBd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w:t>
      </w:r>
    </w:p>
    <w:p w14:paraId="0000003A"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rPr>
      </w:pPr>
    </w:p>
    <w:p w14:paraId="0000003B" w14:textId="77777777" w:rsidR="0097205C" w:rsidRDefault="0097205C">
      <w:pPr>
        <w:pBdr>
          <w:top w:val="nil"/>
          <w:left w:val="nil"/>
          <w:bottom w:val="nil"/>
          <w:right w:val="nil"/>
          <w:between w:val="nil"/>
        </w:pBdr>
        <w:spacing w:after="0"/>
        <w:jc w:val="both"/>
        <w:rPr>
          <w:rFonts w:ascii="Times New Roman" w:eastAsia="Times New Roman" w:hAnsi="Times New Roman" w:cs="Times New Roman"/>
          <w:color w:val="000000"/>
        </w:rPr>
      </w:pPr>
    </w:p>
    <w:p w14:paraId="0000003C" w14:textId="77777777" w:rsidR="0097205C" w:rsidRDefault="0097205C">
      <w:pPr>
        <w:pBdr>
          <w:top w:val="nil"/>
          <w:left w:val="nil"/>
          <w:bottom w:val="nil"/>
          <w:right w:val="nil"/>
          <w:between w:val="nil"/>
        </w:pBdr>
        <w:jc w:val="both"/>
        <w:rPr>
          <w:rFonts w:ascii="Times New Roman" w:eastAsia="Times New Roman" w:hAnsi="Times New Roman" w:cs="Times New Roman"/>
          <w:color w:val="000000"/>
        </w:rPr>
      </w:pPr>
    </w:p>
    <w:sectPr w:rsidR="0097205C">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8F04" w14:textId="77777777" w:rsidR="00D96298" w:rsidRDefault="00D96298">
      <w:pPr>
        <w:spacing w:after="0" w:line="240" w:lineRule="auto"/>
      </w:pPr>
      <w:r>
        <w:separator/>
      </w:r>
    </w:p>
  </w:endnote>
  <w:endnote w:type="continuationSeparator" w:id="0">
    <w:p w14:paraId="2720117C" w14:textId="77777777" w:rsidR="00D96298" w:rsidRDefault="00D9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ABE" w14:textId="77777777" w:rsidR="00D96298" w:rsidRDefault="00D96298">
      <w:pPr>
        <w:spacing w:after="0" w:line="240" w:lineRule="auto"/>
      </w:pPr>
      <w:r>
        <w:separator/>
      </w:r>
    </w:p>
  </w:footnote>
  <w:footnote w:type="continuationSeparator" w:id="0">
    <w:p w14:paraId="713F0C3B" w14:textId="77777777" w:rsidR="00D96298" w:rsidRDefault="00D96298">
      <w:pPr>
        <w:spacing w:after="0" w:line="240" w:lineRule="auto"/>
      </w:pPr>
      <w:r>
        <w:continuationSeparator/>
      </w:r>
    </w:p>
  </w:footnote>
  <w:footnote w:id="1">
    <w:p w14:paraId="0000003D" w14:textId="77777777" w:rsidR="0097205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Articolo 94 - Cause di esclusione automatica</w:t>
      </w:r>
      <w:r>
        <w:rPr>
          <w:rFonts w:ascii="Times New Roman" w:eastAsia="Times New Roman" w:hAnsi="Times New Roman" w:cs="Times New Roman"/>
          <w:color w:val="000000"/>
          <w:sz w:val="18"/>
          <w:szCs w:val="18"/>
        </w:rPr>
        <w:t>: “1.  È  causa  di  esclusione  di  un  operatore  economico   dalla partecipazione a una procedura d'appalto  la  condanna  con  sentenza definitiva o decreto penale di condanna divenuto irrevocabile per uno dei seguenti reati:    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    b) delitti, consumati o tentati, di cui  agli  articoli  317,  318, 319, 319-ter, 319-quater,  320,  321,  322,  322-bis,  346-bis,  353, 353-bis, 354, 355 e 356 del codice penale nonché all'articolo  2635 del codice civile;    c) false comunicazioni sociali di cui agli articoli 2621 e 2622 del codice civile;    d) frode ai sensi dell'articolo 1 della convenzione  relativa  alla tutela degli interessi finanziari delle  Comunità  europee,  del  26 luglio 1995;    e)  delitti,  consumati  o  tentati,  commessi  con  finalità   di terrorismo,  anche  internazionale,  e   di   eversione   dell'ordine costituzionale reati terroristici o  reati  connessi  alle  attività terroristiche;    f) delitti di cui agli articoli 648-bis, 648-ter  e  648-ter.1  del codice penale, riciclaggio  di  proventi  di  attività  criminose  o finanziamento del  terrorismo,  quali  definiti  all'articolo  1  del decreto legislativo 22 giugno 2007, n. 109;    g) sfruttamento del lavoro minorile e  altre  forme  di  tratta  di esseri umani definite con il decreto legislativo 4 marzo 2014, n. 24;    h) ogni  altro  delitto  da  cui  derivi,  quale  pena  accessoria, l'incapacità di contrattare con la pubblica amministrazione.    2. È altresì causa di esclusione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    3. L'esclusione di cui ai commi 1 e 2 è disposta se la sentenza  o il decreto oppure la misura  interdittiva  ivi  indicati  sono  stati emessi nei confronti:    a) dell'operatore economico ai  sensi  e  nei  termini  di  cui  al decreto legislativo 8 giugno 2001, n. 231;    b) del titolare o del direttore tecnico, se si  tratta  di  impresa individuale;    c) di un socio amministratore o del direttore tecnico, se si tratta di società in nome collettivo;   d) dei soci accomandatari o del direttore tecnico, se si tratta  di società in accomandita semplice;    e) dei membri  del  consiglio  di  amministrazione  cui  sia  stata conferita la legale rappresentanza, ivi compresi gli  institori  e  i procuratori generali;    f) dei componenti  degli  organi  con  poteri  di  direzione  o  di vigilanza o dei soggetti  muniti  di  poteri  di  rappresentanza,  di direzione o di controllo;    g) del direttore tecnico o del socio unico;    h) dell'amministratore di fatto nelle ipotesi di cui  alle  lettere precedenti.    4. Nel caso in cui il socio sia una persona giuridica  l'esclusione va disposta se la sentenza o il decreto ovvero la misura interdittiva sono stati emessi nei confronti degli amministratori di quest'ultima.    5. Sono altresì esclusi:    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    b) l'operatore economico che non abbia presentato la certificazione di cui all'articolo 17 della legge 12 marzo 1999, n. 68,  ovvero  non abbia presentato  dichiarazione  sostitutiva  della  sussistenza  del medesimo requisito;    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    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    f) l'operatore economico iscritto nel casellario informatico tenuto dall'ANAC  per  aver   presentato   false   dichiarazioni   o   falsa documentazione   ai   fini   del   rilascio   dell'attestazione    di qualificazione, per il periodo durante il quale perdura l'iscrizione.    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footnote>
  <w:footnote w:id="2">
    <w:p w14:paraId="0000003E" w14:textId="77777777" w:rsidR="0097205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Articolo 95 - Cause di esclusione non automatica</w:t>
      </w:r>
      <w:r>
        <w:rPr>
          <w:rFonts w:ascii="Times New Roman" w:eastAsia="Times New Roman" w:hAnsi="Times New Roman" w:cs="Times New Roman"/>
          <w:color w:val="000000"/>
          <w:sz w:val="18"/>
          <w:szCs w:val="18"/>
        </w:rPr>
        <w:t>: “1.  La  stazione  appaltante  esclude  dalla  partecipazione   alla procedura un operatore economico qualora accerti:    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b) che la partecipazione  dell'operatore  economico  determini  una situazione di conflitto di  interesse  di  cui  all'articolo  16  non diversamente risolvibile;    c) sussistere  una  distorsione  della  concorrenza  derivante  dal precedente   coinvolgimento   degli   operatori    economici    nella preparazione della procedura d'appalto che non possa  essere  risolta con misure meno intrusive;    d) sussistere rilevanti indizi tali da far ritenere che le  offerte degli  operatori  economici  siano  imputabili  ad  un  unico  centro decisionale a cagione  di  accordi  intercorsi  con  altri  operatori economici partecipanti alla stessa gara;    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    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    3. Con riferimento alle fattispecie di cui al comma 3, lettera  h), dell'articolo 98, l'esclusione  non  è  disposta  e  il  divieto  di aggiudicare non si applica quando:    a) il reato è stato depenalizzato;    b) è intervenuta la riabilitazione;    c) nei casi di condanna a una pena accessoria perpetua,  questa  è stata dichiarata estinta ai sensi dell'articolo 179,  settimo  comma, del codice penale;    d) il reato è stato dichiarato estinto dopo la condanna;    e) la condanna è stata revocata.</w:t>
      </w:r>
    </w:p>
  </w:footnote>
  <w:footnote w:id="3">
    <w:p w14:paraId="0000003F" w14:textId="77777777" w:rsidR="0097205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Articolo 100 - Requisiti di ordine speciale</w:t>
      </w:r>
      <w:r>
        <w:rPr>
          <w:rFonts w:ascii="Times New Roman" w:eastAsia="Times New Roman" w:hAnsi="Times New Roman" w:cs="Times New Roman"/>
          <w:color w:val="000000"/>
          <w:sz w:val="18"/>
          <w:szCs w:val="18"/>
        </w:rPr>
        <w:t xml:space="preserve"> “1. Sono requisiti di ordine speciale: a) l'idoneità professionale; b) la capacità economica e finanziaria; c) le capacità tecniche e professionali. 2. Le stazioni appaltanti richiedono  requisiti  di  partecipazione proporzionati e attinenti all'oggetto dell'appalto.  3. Per le procedure di  aggiudicazione  di  appalti  di  servizi  e forniture le stazioni appaltanti richiedono l'iscrizione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In sede di  prima  applicazione  del  codice, l'allegato II.11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    4. Per le procedure di  aggiudicazione  di  appalti  di  lavori  di importo pari o  superiore  a  150.000  euro  le  stazioni  appaltanti richiedono   che   gli   operatori   economici   siano   qualificati. L'attestazione  di  qualificazione  è  rilasciata  da  organismi  di diritto privato autorizzati dall'ANAC. Il sistema  di  qualificazione per gli esecutori di lavori pubblici,  articolato  in  rapporto  alle categorie di  opere  ed  all'importo  delle  stesse  è  disciplinato dall'allegato  II.12.  Le  categorie  di  opere  si  distinguono   in categorie di opere generali e categorie di  opere  specializzate.  Il possesso di attestazione di qualificazione in categorie e classifiche adeguate ai lavori da appaltare rappresenta condizione  necessaria  e sufficiente per la dimostrazione dei requisiti di  partecipazione  di cui al  presente  articolo  nonché  per  l'esecuzione,  a  qualsiasi titolo, dell'appalto.  In  sede  di  prima  applicazione  del  codice l'allegato II.12 è abrogato a decorrere dalla  data  di  entrata  in vigore  di   un   corrispondente   regolamento   emanato   ai   sensi dell'articolo 17, comma 1, della legge 23 agosto  1988,  n.  400,  su proposta del Ministro delle infrastrutture e dei  trasporti,  sentita l'ANAC,  che  lo  sostituisce  integralmente  anche  in  qualità  di allegato al codice.    5. Per ottenere o rinnovare l'attestazione  di  qualificazione  gli operatori economici devono:    a)  essere  iscritti  nel  registro  della  camera  di   commercio, industria, artigianato e agricoltura o nel registro delle commissioni provinciali  per  l'artigianato  o   presso   i   competenti   ordini professionali  per  un'attività,  prevista  dall'oggetto  sociale  e compresa nella categoria per la quale è richiesta l'attestazione;    b) non essere incorsi nelle cause di esclusione di cui al  Capo  II del presente Titolo nel triennio precedente alla data  della  domanda di rilascio o di rinnovo dell'attestazione di qualificazione;    c) essere in possesso di  certificazioni  di  sistemi  di  qualità conformi alle norme  europee  e  alla  vigente  normativa  nazionale, rilasciate da soggetti accreditati.    6.  L'organismo  di   attestazione   rilascia   l'attestazione   di qualificazione per la categoria di opere generali o specializzate per l'esecuzione delle quali  l'operatore  economico  risulti  essere  in possesso di adeguata capacità economica e finanziaria,  di  adeguata dotazione di attrezzature tecniche e  risorse  umane,  e  dispone  la classificazione per importi in ragione  della  documentata  pregressa esperienza professionale.    7. Fino alla emanazione del regolamento di cui al sesto periodo del comma 4, il periodo di attività documentabile è quello relativo  ai quindici anni antecedenti la data di sottoscrizione del contratto con la società organismo di attestazione (SOA) e  la  qualificazione  ha durata  di  cinque  anni,  con  verifica  entro  il  terzo  anno  del mantenimento dei requisiti.    8. Con il regolamento di cui al sesto periodo del comma 4  sono  in ogni caso disciplinati:    a) la procedura per ottenere l'attestazione di qualificazione e per il suo rinnovo, prevedendo  che  l'operatore  economico  richieda  la conferma dell'attestazione nel caso in cui, nel periodo di  validità dell'attestazione, intervenga una modifica soggettiva;    b)  i  requisiti  per  la  dimostrazione  dell'adeguata   capacità economica e finanziaria  e  per  la  dimostrazione  del  possesso  di adeguate attrezzature tecniche e di adeguato organico;    c) le modalità di qualificazione degli operatori economici di  cui all'articolo 67, comma 1, sulla base del criterio del cumulo  nonché i criteri di imputazione di cui all'articolo 67, comma 6;    d)  le  modalità  di  documentazione  delle  pregresse  esperienze professionali, considerando anche  i  lavori  eseguiti  a  favore  di soggetti privati che siano comprovati da idonea documentazione;    e) le modalità di verifica a campione compiute dagli organismi  di attestazione;    f) il periodo di durata dell'attestazione  di  qualificazione  e  i periodi intermedi di verifica del mantenimento dei requisiti;    g) i casi  di  sospensione  e  di  decadenza  dall'attestazione  di qualificazione già rilasciata, prevedendo sanzioni interdittive  nel caso di presentazione  di  falsa  documentazione  agli  organismi  di attestazione.    9. Relativamente agli organismi di attestazione, con il regolamento di cui al sesto periodo del comma 4 sono in ogni caso disciplinati:    a) i requisiti soggettivi, organizzativi, finanziari e tecnici  per il conseguimento dell'autorizzazione all'esercizio dell'attività  di qualificazione degli operatori economici  nonché  la  procedura  per ottenere l'autorizzazione;    b) le sanzioni  pecuniarie  e  interdittive,  fino  alla  decadenza dell'autorizzazione, per le violazioni commesse  dagli  organismi  di attestazione, anche alle richieste di informazioni  e  di  atti  loro rivolte dall'ANAC nell'esercizio dell'attività di vigilanza, secondo un criterio di proporzionalità e nel rispetto del contraddittorio;    c) le modalità dell'esercizio dell'attività di vigilanza da parte dell'ANAC;    d)  gli  obblighi  di  conservazione  e  di   pubblicazione   della documentazione in capo agli organismi di attestazione;    e) gli obblighi di comunicazione all'ANAC in capo agli organismi di attestazione.    10. Con il regolamento di cui al  sesto  periodo  del  comma  4  è altresì definita la disciplina della qualificazione degli  operatori economici per gli appalti di  servizi  e  forniture.  Il  regolamento contiene, tra l'altro: la definizione delle tipologie per le quali è possibile una classificazione per valore, la competenza a  rilasciare la relativa  attestazione,  la  procedura  e  le  condizioni  per  la relativa richiesta, il regime sanzionatorio.    11. Fino alla data di entrata in vigore del regolamento di  cui  al sesto periodo del comma 4, per  le  procedure  di  aggiudicazione  di appalti di  servizi  e  forniture,  le  stazioni  appaltanti  possono richiedere agli operatori  economici  quale  requisito  di  capacità economica e finanziaria un fatturato globale non superiore al  doppio del valore stimato dell'appalto, maturato nel triennio  precedente  a quello  di  indizione  della  procedura.  In  caso  di  procedure  di aggiudicazione  suddivise  in  pluralità  di  lotti,  salvo  diversa motivata scelta della stazione appaltante, il fatturato è  richiesto per  ciascun  lotto.  Le  stazioni  appaltanti   possono,   altresì, richiedere agli operatori  economici  quale  requisito  di  capacità tecnica e professionale di  aver  eseguito  nel  precedente  triennio dalla data di indizione della procedura di gara contratti analoghi  a quello in affidamento anche a favore di soggetti privati.    12. Salvo quanto previsto dall'articolo 102 o da leggi speciali, le stazioni  appaltanti  richiedono  esclusivamente   i   requisiti   di partecipazione previsti dal presente articolo.    13. Gli organismi  di  cui  al  comma  4  segnalano  immediatamente all'ANAC i casi  in  cui  gli  operatori  economici,  ai  fini  della qualificazione, rendono dichiarazioni false o producono documenti non veritieri. </w:t>
      </w:r>
    </w:p>
  </w:footnote>
  <w:footnote w:id="4">
    <w:p w14:paraId="00000040" w14:textId="77777777" w:rsidR="0097205C" w:rsidRDefault="00000000">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Ai sensi dell’art.38 del D.P.R. del 28.12.2000, n.445 la dichiarazione è sottoscritta dall'interessato in presenza del dipendente addetto ovvero sottoscritta e presentata all'ufficio competente, unitamente a copia fotostatica non autenticata di un documento di identità del sottoscrittore.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9C5"/>
    <w:multiLevelType w:val="multilevel"/>
    <w:tmpl w:val="FD66EC08"/>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65117DBC"/>
    <w:multiLevelType w:val="multilevel"/>
    <w:tmpl w:val="E9B8E2CE"/>
    <w:lvl w:ilvl="0">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08C761A"/>
    <w:multiLevelType w:val="multilevel"/>
    <w:tmpl w:val="30FC7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0E1F3A"/>
    <w:multiLevelType w:val="multilevel"/>
    <w:tmpl w:val="66C2B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0416034">
    <w:abstractNumId w:val="1"/>
  </w:num>
  <w:num w:numId="2" w16cid:durableId="4480904">
    <w:abstractNumId w:val="3"/>
  </w:num>
  <w:num w:numId="3" w16cid:durableId="1174688995">
    <w:abstractNumId w:val="2"/>
  </w:num>
  <w:num w:numId="4" w16cid:durableId="1154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5C"/>
    <w:rsid w:val="0097205C"/>
    <w:rsid w:val="00D96298"/>
    <w:rsid w:val="00FA6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6B699B"/>
  <w15:docId w15:val="{6AF4496F-456E-B14F-B1CD-04E29CAE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E27838"/>
    <w:pPr>
      <w:ind w:left="720"/>
      <w:contextualSpacing/>
    </w:pPr>
  </w:style>
  <w:style w:type="paragraph" w:styleId="PreformattatoHTML">
    <w:name w:val="HTML Preformatted"/>
    <w:basedOn w:val="Normale"/>
    <w:link w:val="PreformattatoHTMLCarattere"/>
    <w:uiPriority w:val="99"/>
    <w:semiHidden/>
    <w:unhideWhenUsed/>
    <w:rsid w:val="00E2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27838"/>
    <w:rPr>
      <w:rFonts w:ascii="Courier New" w:eastAsia="Times New Roman" w:hAnsi="Courier New" w:cs="Courier New"/>
      <w:kern w:val="0"/>
      <w:sz w:val="20"/>
      <w:szCs w:val="20"/>
      <w:lang w:eastAsia="it-IT"/>
    </w:rPr>
  </w:style>
  <w:style w:type="paragraph" w:styleId="Testonotaapidipagina">
    <w:name w:val="footnote text"/>
    <w:basedOn w:val="Normale"/>
    <w:link w:val="TestonotaapidipaginaCarattere"/>
    <w:uiPriority w:val="99"/>
    <w:semiHidden/>
    <w:unhideWhenUsed/>
    <w:rsid w:val="00E278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7838"/>
    <w:rPr>
      <w:sz w:val="20"/>
      <w:szCs w:val="20"/>
    </w:rPr>
  </w:style>
  <w:style w:type="character" w:styleId="Rimandonotaapidipagina">
    <w:name w:val="footnote reference"/>
    <w:basedOn w:val="Carpredefinitoparagrafo"/>
    <w:uiPriority w:val="99"/>
    <w:semiHidden/>
    <w:unhideWhenUsed/>
    <w:rsid w:val="00E27838"/>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J1jfmCXJJ1v5nK8cx93leIbqVA==">CgMxLjAyDmgud2FsZDl1ODc1Y2VhOAByITFBdkdhUjVucmdmcWtraTVBbm1mc192VXpWcVNoa1V4Zg==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Vigorito</dc:creator>
  <cp:lastModifiedBy>Rocco  Crescenzi</cp:lastModifiedBy>
  <cp:revision>2</cp:revision>
  <dcterms:created xsi:type="dcterms:W3CDTF">2023-07-19T08:46:00Z</dcterms:created>
  <dcterms:modified xsi:type="dcterms:W3CDTF">2023-07-31T15:10:00Z</dcterms:modified>
</cp:coreProperties>
</file>