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1FA6" w:rsidRDefault="004C1FA6" w:rsidP="00096438">
      <w:pPr>
        <w:pStyle w:val="Normale1"/>
      </w:pPr>
    </w:p>
    <w:p w:rsidR="00096438" w:rsidRDefault="00096438" w:rsidP="00096438">
      <w:pPr>
        <w:pStyle w:val="Normale1"/>
      </w:pPr>
    </w:p>
    <w:p w:rsidR="004C1FA6" w:rsidRDefault="00CE022F">
      <w:pPr>
        <w:pStyle w:val="Normale1"/>
        <w:ind w:left="284"/>
        <w:jc w:val="center"/>
      </w:pPr>
      <w:r>
        <w:rPr>
          <w:rFonts w:ascii="Arial" w:eastAsia="Arial" w:hAnsi="Arial" w:cs="Arial"/>
          <w:b/>
          <w:sz w:val="24"/>
          <w:szCs w:val="24"/>
        </w:rPr>
        <w:t>PROGRAMMA ERASMUS+</w:t>
      </w:r>
    </w:p>
    <w:p w:rsidR="004C1FA6" w:rsidRDefault="00CE022F">
      <w:pPr>
        <w:pStyle w:val="Normale1"/>
        <w:ind w:left="284"/>
        <w:jc w:val="center"/>
      </w:pPr>
      <w:r>
        <w:rPr>
          <w:rFonts w:ascii="Arial" w:eastAsia="Arial" w:hAnsi="Arial" w:cs="Arial"/>
          <w:b/>
          <w:sz w:val="24"/>
          <w:szCs w:val="24"/>
        </w:rPr>
        <w:t>Bando di selezione degli studenti in mobilità per fini di studio</w:t>
      </w:r>
      <w:r>
        <w:rPr>
          <w:rFonts w:ascii="Arial" w:eastAsia="Arial" w:hAnsi="Arial" w:cs="Arial"/>
          <w:b/>
          <w:sz w:val="24"/>
          <w:szCs w:val="24"/>
        </w:rPr>
        <w:br/>
      </w:r>
      <w:proofErr w:type="spellStart"/>
      <w:r>
        <w:rPr>
          <w:rFonts w:ascii="Arial" w:eastAsia="Arial" w:hAnsi="Arial" w:cs="Arial"/>
          <w:b/>
          <w:sz w:val="24"/>
          <w:szCs w:val="24"/>
        </w:rPr>
        <w:t>a.a.</w:t>
      </w:r>
      <w:proofErr w:type="spellEnd"/>
      <w:r>
        <w:rPr>
          <w:rFonts w:ascii="Arial" w:eastAsia="Arial" w:hAnsi="Arial" w:cs="Arial"/>
          <w:b/>
          <w:sz w:val="24"/>
          <w:szCs w:val="24"/>
        </w:rPr>
        <w:t xml:space="preserve"> 2017/2018</w:t>
      </w:r>
    </w:p>
    <w:p w:rsidR="004C1FA6" w:rsidRDefault="004C1FA6">
      <w:pPr>
        <w:pStyle w:val="Normale1"/>
        <w:ind w:left="284"/>
        <w:jc w:val="center"/>
      </w:pPr>
    </w:p>
    <w:p w:rsidR="004C1FA6" w:rsidRDefault="00CE022F">
      <w:pPr>
        <w:pStyle w:val="Normale1"/>
        <w:ind w:left="284"/>
        <w:jc w:val="center"/>
      </w:pPr>
      <w:r>
        <w:rPr>
          <w:rFonts w:ascii="Arial" w:eastAsia="Arial" w:hAnsi="Arial" w:cs="Arial"/>
          <w:b/>
          <w:sz w:val="24"/>
          <w:szCs w:val="24"/>
        </w:rPr>
        <w:t>Facoltà di Farmacia e Medicina</w:t>
      </w:r>
    </w:p>
    <w:p w:rsidR="004C1FA6" w:rsidRDefault="00CE022F">
      <w:pPr>
        <w:pStyle w:val="Normale1"/>
        <w:spacing w:after="100"/>
        <w:ind w:left="284"/>
        <w:jc w:val="center"/>
      </w:pPr>
      <w:r>
        <w:rPr>
          <w:rFonts w:ascii="Arial" w:eastAsia="Arial" w:hAnsi="Arial" w:cs="Arial"/>
          <w:b/>
          <w:sz w:val="24"/>
          <w:szCs w:val="24"/>
        </w:rPr>
        <w:t>AREA FARMACIA</w:t>
      </w:r>
    </w:p>
    <w:p w:rsidR="004C1FA6" w:rsidRDefault="00CE022F">
      <w:pPr>
        <w:pStyle w:val="Normale1"/>
        <w:spacing w:after="100"/>
        <w:ind w:left="284"/>
        <w:jc w:val="center"/>
      </w:pPr>
      <w:r>
        <w:rPr>
          <w:rFonts w:ascii="Arial" w:eastAsia="Arial" w:hAnsi="Arial" w:cs="Arial"/>
          <w:b/>
        </w:rPr>
        <w:t>FARMACIA, CHIMICA E TECNOLOGIA FARMACEUTICHE,</w:t>
      </w:r>
      <w:r w:rsidR="00CB6370">
        <w:rPr>
          <w:rFonts w:ascii="Arial" w:eastAsia="Arial" w:hAnsi="Arial" w:cs="Arial"/>
          <w:b/>
        </w:rPr>
        <w:t xml:space="preserve"> </w:t>
      </w:r>
      <w:r>
        <w:rPr>
          <w:rFonts w:ascii="Arial" w:eastAsia="Arial" w:hAnsi="Arial" w:cs="Arial"/>
          <w:b/>
        </w:rPr>
        <w:t>SCIENZE FARMACEUTICHE APPLICATE</w:t>
      </w:r>
    </w:p>
    <w:p w:rsidR="004C1FA6" w:rsidRDefault="00CE022F">
      <w:pPr>
        <w:pStyle w:val="Normale1"/>
        <w:spacing w:after="100"/>
        <w:ind w:left="284"/>
        <w:jc w:val="center"/>
      </w:pPr>
      <w:r>
        <w:rPr>
          <w:rFonts w:ascii="Arial" w:eastAsia="Arial" w:hAnsi="Arial" w:cs="Arial"/>
          <w:b/>
        </w:rPr>
        <w:t>BIOTECNOLOGIE, BIOTECNOLOGIE FARMACEUTICHE e BIOTECNOLOGIE MEDICHE</w:t>
      </w:r>
    </w:p>
    <w:p w:rsidR="004C1FA6" w:rsidRDefault="004C1FA6">
      <w:pPr>
        <w:pStyle w:val="Normale1"/>
        <w:ind w:left="284"/>
        <w:jc w:val="both"/>
      </w:pPr>
    </w:p>
    <w:p w:rsidR="004C1FA6" w:rsidRDefault="00CE022F">
      <w:pPr>
        <w:pStyle w:val="Normale1"/>
        <w:ind w:left="284"/>
        <w:jc w:val="both"/>
      </w:pPr>
      <w:r>
        <w:rPr>
          <w:rFonts w:ascii="Arial" w:eastAsia="Arial" w:hAnsi="Arial" w:cs="Arial"/>
          <w:i/>
        </w:rPr>
        <w:t>Erasmus Plus</w:t>
      </w:r>
      <w:r>
        <w:rPr>
          <w:rFonts w:ascii="Arial" w:eastAsia="Arial" w:hAnsi="Arial" w:cs="Arial"/>
        </w:rPr>
        <w:t xml:space="preserve"> è il programma dell’Unione europea per l’</w:t>
      </w:r>
      <w:r>
        <w:rPr>
          <w:rFonts w:ascii="Arial" w:eastAsia="Arial" w:hAnsi="Arial" w:cs="Arial"/>
          <w:b/>
        </w:rPr>
        <w:t>Istruzione</w:t>
      </w:r>
      <w:r>
        <w:rPr>
          <w:rFonts w:ascii="Arial" w:eastAsia="Arial" w:hAnsi="Arial" w:cs="Arial"/>
        </w:rPr>
        <w:t xml:space="preserve">, la </w:t>
      </w:r>
      <w:r>
        <w:rPr>
          <w:rFonts w:ascii="Arial" w:eastAsia="Arial" w:hAnsi="Arial" w:cs="Arial"/>
          <w:b/>
        </w:rPr>
        <w:t>Formazione</w:t>
      </w:r>
      <w:r>
        <w:rPr>
          <w:rFonts w:ascii="Arial" w:eastAsia="Arial" w:hAnsi="Arial" w:cs="Arial"/>
        </w:rPr>
        <w:t xml:space="preserve">, la </w:t>
      </w:r>
      <w:r>
        <w:rPr>
          <w:rFonts w:ascii="Arial" w:eastAsia="Arial" w:hAnsi="Arial" w:cs="Arial"/>
          <w:b/>
        </w:rPr>
        <w:t>Gioventù</w:t>
      </w:r>
      <w:r>
        <w:rPr>
          <w:rFonts w:ascii="Arial" w:eastAsia="Arial" w:hAnsi="Arial" w:cs="Arial"/>
        </w:rPr>
        <w:t xml:space="preserve"> e lo </w:t>
      </w:r>
      <w:r>
        <w:rPr>
          <w:rFonts w:ascii="Arial" w:eastAsia="Arial" w:hAnsi="Arial" w:cs="Arial"/>
          <w:b/>
        </w:rPr>
        <w:t>Sport</w:t>
      </w:r>
      <w:r>
        <w:rPr>
          <w:rFonts w:ascii="Arial" w:eastAsia="Arial" w:hAnsi="Arial" w:cs="Arial"/>
        </w:rPr>
        <w:t xml:space="preserve">  2014/2020.</w:t>
      </w:r>
    </w:p>
    <w:p w:rsidR="004C1FA6" w:rsidRDefault="004C1FA6">
      <w:pPr>
        <w:pStyle w:val="Normale1"/>
        <w:ind w:left="284"/>
        <w:jc w:val="both"/>
      </w:pPr>
    </w:p>
    <w:p w:rsidR="004C1FA6" w:rsidRDefault="00CE022F">
      <w:pPr>
        <w:pStyle w:val="Normale1"/>
        <w:ind w:left="284"/>
        <w:jc w:val="both"/>
      </w:pPr>
      <w:r>
        <w:rPr>
          <w:rFonts w:ascii="Arial" w:eastAsia="Arial" w:hAnsi="Arial" w:cs="Arial"/>
        </w:rPr>
        <w:t xml:space="preserve">Il programma Erasmus+ per motivi di studio consente agli studenti universitari di accrescere le opportunità di formazione, finalizzate a far acquisire le abilità necessarie per favorire la transizione verso il mondo del lavoro. A tale scopo Erasmus+ offre agli </w:t>
      </w:r>
      <w:r w:rsidRPr="00D05844">
        <w:rPr>
          <w:rFonts w:ascii="Arial" w:eastAsia="Arial" w:hAnsi="Arial" w:cs="Arial"/>
        </w:rPr>
        <w:t>studenti la possibilità di studiare all'estero fino a 12 mesi nell'ambito di ogni ciclo/livell</w:t>
      </w:r>
      <w:r w:rsidR="00D92750" w:rsidRPr="00D05844">
        <w:rPr>
          <w:rFonts w:ascii="Arial" w:eastAsia="Arial" w:hAnsi="Arial" w:cs="Arial"/>
        </w:rPr>
        <w:t xml:space="preserve">o di studio </w:t>
      </w:r>
      <w:r w:rsidRPr="00D05844">
        <w:rPr>
          <w:rFonts w:ascii="Arial" w:eastAsia="Arial" w:hAnsi="Arial" w:cs="Arial"/>
        </w:rPr>
        <w:t>e 24 mesi</w:t>
      </w:r>
      <w:r>
        <w:rPr>
          <w:rFonts w:ascii="Arial" w:eastAsia="Arial" w:hAnsi="Arial" w:cs="Arial"/>
        </w:rPr>
        <w:t xml:space="preserve"> per le lauree a ciclo unico, a prescindere dal numero dei periodi di mobilità (ad esempio: 2 periodi di 6 mesi o 3 periodi di 4 mesi).</w:t>
      </w:r>
    </w:p>
    <w:p w:rsidR="004C1FA6" w:rsidRDefault="00CE022F">
      <w:pPr>
        <w:pStyle w:val="Normale1"/>
        <w:spacing w:before="120"/>
        <w:ind w:left="284" w:firstLine="16"/>
        <w:jc w:val="both"/>
      </w:pPr>
      <w:r>
        <w:rPr>
          <w:rFonts w:ascii="Arial" w:eastAsia="Arial" w:hAnsi="Arial" w:cs="Arial"/>
        </w:rPr>
        <w:t xml:space="preserve">Lo studente in mobilità riceve un contributo economico, ha la possibilità di seguire corsi e di usufruire delle strutture disponibili presso l’Istituto ospitante senza ulteriori tasse di iscrizione (potrebbero essere richiesti eventuali piccoli contributi cui sono soggetti anche gli studenti locali), con </w:t>
      </w:r>
      <w:r>
        <w:rPr>
          <w:rFonts w:ascii="Arial" w:eastAsia="Arial" w:hAnsi="Arial" w:cs="Arial"/>
          <w:b/>
        </w:rPr>
        <w:t xml:space="preserve">la garanzia del pieno riconoscimento delle attività sostenute all’estero (con esito positivo) </w:t>
      </w:r>
      <w:r>
        <w:rPr>
          <w:rFonts w:ascii="Arial" w:eastAsia="Arial" w:hAnsi="Arial" w:cs="Arial"/>
        </w:rPr>
        <w:t xml:space="preserve">purché approvate in sede di </w:t>
      </w:r>
      <w:proofErr w:type="spellStart"/>
      <w:r>
        <w:rPr>
          <w:rFonts w:ascii="Arial" w:eastAsia="Arial" w:hAnsi="Arial" w:cs="Arial"/>
        </w:rPr>
        <w:t>Learning</w:t>
      </w:r>
      <w:proofErr w:type="spellEnd"/>
      <w:r>
        <w:rPr>
          <w:rFonts w:ascii="Arial" w:eastAsia="Arial" w:hAnsi="Arial" w:cs="Arial"/>
        </w:rPr>
        <w:t xml:space="preserve"> Agreement/</w:t>
      </w:r>
      <w:proofErr w:type="spellStart"/>
      <w:r>
        <w:rPr>
          <w:rFonts w:ascii="Arial" w:eastAsia="Arial" w:hAnsi="Arial" w:cs="Arial"/>
        </w:rPr>
        <w:t>Change</w:t>
      </w:r>
      <w:proofErr w:type="spellEnd"/>
      <w:r>
        <w:rPr>
          <w:rFonts w:ascii="Arial" w:eastAsia="Arial" w:hAnsi="Arial" w:cs="Arial"/>
        </w:rPr>
        <w:t xml:space="preserve"> </w:t>
      </w:r>
      <w:proofErr w:type="spellStart"/>
      <w:r>
        <w:rPr>
          <w:rFonts w:ascii="Arial" w:eastAsia="Arial" w:hAnsi="Arial" w:cs="Arial"/>
        </w:rPr>
        <w:t>Form</w:t>
      </w:r>
      <w:proofErr w:type="spellEnd"/>
      <w:r>
        <w:rPr>
          <w:rFonts w:ascii="Arial" w:eastAsia="Arial" w:hAnsi="Arial" w:cs="Arial"/>
        </w:rPr>
        <w:t>. Il pieno riconoscimento dell’attività svolta all’estero è uno degli impegni sottoscritti dall’Università degli Studi di Roma “La Sapienza” con l’approvazione dell’</w:t>
      </w:r>
      <w:proofErr w:type="spellStart"/>
      <w:r>
        <w:rPr>
          <w:rFonts w:ascii="Arial" w:eastAsia="Arial" w:hAnsi="Arial" w:cs="Arial"/>
        </w:rPr>
        <w:t>Erasmus</w:t>
      </w:r>
      <w:proofErr w:type="spellEnd"/>
      <w:r>
        <w:rPr>
          <w:rFonts w:ascii="Arial" w:eastAsia="Arial" w:hAnsi="Arial" w:cs="Arial"/>
        </w:rPr>
        <w:t xml:space="preserve"> Policy Statement (EPS) e del “Regolamento per la Mobilità studentesca e il riconoscimento di periodo di studio e formazione all’estero” (</w:t>
      </w:r>
      <w:proofErr w:type="spellStart"/>
      <w:r>
        <w:rPr>
          <w:rFonts w:ascii="Arial" w:eastAsia="Arial" w:hAnsi="Arial" w:cs="Arial"/>
        </w:rPr>
        <w:t>D.R.</w:t>
      </w:r>
      <w:proofErr w:type="spellEnd"/>
      <w:r>
        <w:rPr>
          <w:rFonts w:ascii="Arial" w:eastAsia="Arial" w:hAnsi="Arial" w:cs="Arial"/>
        </w:rPr>
        <w:t xml:space="preserve"> </w:t>
      </w:r>
      <w:proofErr w:type="spellStart"/>
      <w:r>
        <w:rPr>
          <w:rFonts w:ascii="Arial" w:eastAsia="Arial" w:hAnsi="Arial" w:cs="Arial"/>
        </w:rPr>
        <w:t>prot</w:t>
      </w:r>
      <w:proofErr w:type="spellEnd"/>
      <w:r>
        <w:rPr>
          <w:rFonts w:ascii="Arial" w:eastAsia="Arial" w:hAnsi="Arial" w:cs="Arial"/>
        </w:rPr>
        <w:t>. n. 34218 del 13.05.2015).</w:t>
      </w:r>
    </w:p>
    <w:p w:rsidR="004C1FA6" w:rsidRDefault="004C1FA6">
      <w:pPr>
        <w:pStyle w:val="Normale1"/>
        <w:jc w:val="both"/>
      </w:pPr>
    </w:p>
    <w:p w:rsidR="004C1FA6" w:rsidRDefault="00CE022F">
      <w:pPr>
        <w:pStyle w:val="Normale1"/>
        <w:ind w:left="284"/>
        <w:jc w:val="both"/>
      </w:pPr>
      <w:r>
        <w:rPr>
          <w:rFonts w:ascii="Arial" w:eastAsia="Arial" w:hAnsi="Arial" w:cs="Arial"/>
        </w:rPr>
        <w:t>Per l’</w:t>
      </w:r>
      <w:proofErr w:type="spellStart"/>
      <w:r>
        <w:rPr>
          <w:rFonts w:ascii="Arial" w:eastAsia="Arial" w:hAnsi="Arial" w:cs="Arial"/>
        </w:rPr>
        <w:t>a.a.</w:t>
      </w:r>
      <w:proofErr w:type="spellEnd"/>
      <w:r>
        <w:rPr>
          <w:rFonts w:ascii="Arial" w:eastAsia="Arial" w:hAnsi="Arial" w:cs="Arial"/>
        </w:rPr>
        <w:t xml:space="preserve"> 2017/2018 sarà possibile partecipare al Programma Erasmus+ per studio presso le Università degli Stati membri dell’Unione Europea e di altri Paesi aderenti al Programma (</w:t>
      </w:r>
      <w:proofErr w:type="spellStart"/>
      <w:r>
        <w:rPr>
          <w:rFonts w:ascii="Arial" w:eastAsia="Arial" w:hAnsi="Arial" w:cs="Arial"/>
        </w:rPr>
        <w:t>Programme</w:t>
      </w:r>
      <w:proofErr w:type="spellEnd"/>
      <w:r>
        <w:rPr>
          <w:rFonts w:ascii="Arial" w:eastAsia="Arial" w:hAnsi="Arial" w:cs="Arial"/>
        </w:rPr>
        <w:t xml:space="preserve"> </w:t>
      </w:r>
      <w:proofErr w:type="spellStart"/>
      <w:r>
        <w:rPr>
          <w:rFonts w:ascii="Arial" w:eastAsia="Arial" w:hAnsi="Arial" w:cs="Arial"/>
        </w:rPr>
        <w:t>Countries</w:t>
      </w:r>
      <w:proofErr w:type="spellEnd"/>
      <w:r>
        <w:rPr>
          <w:rFonts w:ascii="Arial" w:eastAsia="Arial" w:hAnsi="Arial" w:cs="Arial"/>
        </w:rPr>
        <w:t>).</w:t>
      </w:r>
    </w:p>
    <w:p w:rsidR="004C1FA6" w:rsidRDefault="00CE022F">
      <w:pPr>
        <w:pStyle w:val="Normale1"/>
        <w:ind w:left="284"/>
        <w:jc w:val="both"/>
      </w:pPr>
      <w:r>
        <w:rPr>
          <w:rFonts w:ascii="Arial" w:eastAsia="Arial" w:hAnsi="Arial" w:cs="Arial"/>
        </w:rPr>
        <w:t>L’elenco completo dei Paesi presso i quali è possibile recarsi è il seguente:</w:t>
      </w:r>
    </w:p>
    <w:p w:rsidR="004C1FA6" w:rsidRDefault="004C1FA6">
      <w:pPr>
        <w:pStyle w:val="Normale1"/>
        <w:ind w:left="284"/>
        <w:jc w:val="both"/>
      </w:pPr>
    </w:p>
    <w:p w:rsidR="004C1FA6" w:rsidRDefault="00CE022F">
      <w:pPr>
        <w:pStyle w:val="Normale1"/>
        <w:numPr>
          <w:ilvl w:val="0"/>
          <w:numId w:val="1"/>
        </w:numPr>
        <w:ind w:hanging="360"/>
        <w:jc w:val="both"/>
      </w:pPr>
      <w:r>
        <w:rPr>
          <w:rFonts w:ascii="Arial" w:eastAsia="Arial" w:hAnsi="Arial" w:cs="Arial"/>
          <w:u w:val="single"/>
        </w:rPr>
        <w:t>Stati membri dell’Unione Europea</w:t>
      </w:r>
      <w:r>
        <w:rPr>
          <w:rFonts w:ascii="Arial" w:eastAsia="Arial" w:hAnsi="Arial" w:cs="Arial"/>
        </w:rPr>
        <w:t>: Austria, Belgio, Bulgaria, Cipro, Croazia, Danimarca, Estonia, Finlandia, Francia, Germania, Grecia, Irlanda, Lettonia, Lituania, Lussemburgo, Malta, Paesi Bassi, Polonia, Portogallo, Regno Unito, Repubblica Ceca, Romania, Slovacchia, Slovenia, Spagna, Svezia e Ungheria.</w:t>
      </w:r>
    </w:p>
    <w:p w:rsidR="004C1FA6" w:rsidRDefault="00CE022F">
      <w:pPr>
        <w:pStyle w:val="Normale1"/>
        <w:numPr>
          <w:ilvl w:val="0"/>
          <w:numId w:val="1"/>
        </w:numPr>
        <w:ind w:hanging="360"/>
        <w:jc w:val="both"/>
      </w:pPr>
      <w:r>
        <w:rPr>
          <w:rFonts w:ascii="Arial" w:eastAsia="Arial" w:hAnsi="Arial" w:cs="Arial"/>
          <w:u w:val="single"/>
        </w:rPr>
        <w:t>Paesi EFTA/SEE</w:t>
      </w:r>
      <w:r>
        <w:rPr>
          <w:rFonts w:ascii="Arial" w:eastAsia="Arial" w:hAnsi="Arial" w:cs="Arial"/>
        </w:rPr>
        <w:t>: Islanda, Liechtenstein e Norvegia.</w:t>
      </w:r>
    </w:p>
    <w:p w:rsidR="004C1FA6" w:rsidRDefault="00CE022F">
      <w:pPr>
        <w:pStyle w:val="Normale1"/>
        <w:numPr>
          <w:ilvl w:val="0"/>
          <w:numId w:val="1"/>
        </w:numPr>
        <w:ind w:hanging="360"/>
        <w:jc w:val="both"/>
      </w:pPr>
      <w:r>
        <w:rPr>
          <w:rFonts w:ascii="Arial" w:eastAsia="Arial" w:hAnsi="Arial" w:cs="Arial"/>
          <w:u w:val="single"/>
        </w:rPr>
        <w:t>Turchia e Repubblica di Macedonia</w:t>
      </w:r>
      <w:r>
        <w:rPr>
          <w:rFonts w:ascii="Arial" w:eastAsia="Arial" w:hAnsi="Arial" w:cs="Arial"/>
        </w:rPr>
        <w:t xml:space="preserve"> (in quanto Paesi candidati all’UE).</w:t>
      </w:r>
    </w:p>
    <w:p w:rsidR="004C1FA6" w:rsidRDefault="004C1FA6">
      <w:pPr>
        <w:pStyle w:val="Normale1"/>
        <w:ind w:left="284"/>
        <w:jc w:val="both"/>
      </w:pPr>
    </w:p>
    <w:p w:rsidR="004C1FA6" w:rsidRDefault="004C1FA6">
      <w:pPr>
        <w:pStyle w:val="Normale1"/>
        <w:jc w:val="both"/>
      </w:pPr>
    </w:p>
    <w:p w:rsidR="004C1FA6" w:rsidRDefault="004C1FA6">
      <w:pPr>
        <w:pStyle w:val="Normale1"/>
        <w:ind w:left="284"/>
        <w:jc w:val="both"/>
      </w:pPr>
    </w:p>
    <w:p w:rsidR="00DF3E10" w:rsidRDefault="00DF3E10">
      <w:pPr>
        <w:pStyle w:val="Normale1"/>
        <w:ind w:left="284"/>
        <w:jc w:val="both"/>
        <w:rPr>
          <w:rFonts w:ascii="Arial" w:eastAsia="Arial" w:hAnsi="Arial" w:cs="Arial"/>
          <w:b/>
        </w:rPr>
      </w:pPr>
    </w:p>
    <w:p w:rsidR="004C1FA6" w:rsidRDefault="00CE022F">
      <w:pPr>
        <w:pStyle w:val="Normale1"/>
        <w:ind w:left="284"/>
        <w:jc w:val="both"/>
      </w:pPr>
      <w:r>
        <w:rPr>
          <w:rFonts w:ascii="Arial" w:eastAsia="Arial" w:hAnsi="Arial" w:cs="Arial"/>
          <w:b/>
        </w:rPr>
        <w:t>1. REQUISITI PER LA CANDIDATURA</w:t>
      </w:r>
      <w:r>
        <w:rPr>
          <w:rFonts w:ascii="Arial" w:eastAsia="Arial" w:hAnsi="Arial" w:cs="Arial"/>
        </w:rPr>
        <w:t xml:space="preserve"> </w:t>
      </w:r>
    </w:p>
    <w:p w:rsidR="004C1FA6" w:rsidRDefault="004C1FA6">
      <w:pPr>
        <w:pStyle w:val="Normale1"/>
        <w:ind w:left="284"/>
        <w:jc w:val="both"/>
      </w:pPr>
    </w:p>
    <w:p w:rsidR="004C1FA6" w:rsidRDefault="00CE022F">
      <w:pPr>
        <w:pStyle w:val="Normale1"/>
        <w:numPr>
          <w:ilvl w:val="1"/>
          <w:numId w:val="5"/>
        </w:numPr>
        <w:ind w:left="284" w:firstLine="0"/>
        <w:jc w:val="both"/>
        <w:rPr>
          <w:rFonts w:ascii="Arial" w:eastAsia="Arial" w:hAnsi="Arial" w:cs="Arial"/>
        </w:rPr>
      </w:pPr>
      <w:r>
        <w:rPr>
          <w:rFonts w:ascii="Arial" w:eastAsia="Arial" w:hAnsi="Arial" w:cs="Arial"/>
          <w:b/>
        </w:rPr>
        <w:t>REQUISITI GENERALI</w:t>
      </w:r>
    </w:p>
    <w:p w:rsidR="004C1FA6" w:rsidRDefault="00CE022F">
      <w:pPr>
        <w:pStyle w:val="Normale1"/>
        <w:ind w:left="284"/>
        <w:jc w:val="both"/>
      </w:pPr>
      <w:r>
        <w:rPr>
          <w:rFonts w:ascii="Arial" w:eastAsia="Arial" w:hAnsi="Arial" w:cs="Arial"/>
        </w:rPr>
        <w:br/>
        <w:t>Possono presentare domanda per la mobilità Erasmus+ per studio, nei termini stabiliti e nel rispetto delle regole indicate in questo Bando, gli studenti iscritti (anche part-time) a Sapienza, per l’</w:t>
      </w:r>
      <w:proofErr w:type="spellStart"/>
      <w:r>
        <w:rPr>
          <w:rFonts w:ascii="Arial" w:eastAsia="Arial" w:hAnsi="Arial" w:cs="Arial"/>
        </w:rPr>
        <w:t>a.a.</w:t>
      </w:r>
      <w:proofErr w:type="spellEnd"/>
      <w:r>
        <w:rPr>
          <w:rFonts w:ascii="Arial" w:eastAsia="Arial" w:hAnsi="Arial" w:cs="Arial"/>
        </w:rPr>
        <w:t xml:space="preserve"> 2016/2017 (in regola con il pagamento delle tasse (nota 1) ad un corso di laurea triennale, laurea specialistica/magistrale, laurea a ciclo unico, master di primo e secondo livello, dottorato e specializzazione.</w:t>
      </w:r>
    </w:p>
    <w:p w:rsidR="004C1FA6" w:rsidRDefault="004C1FA6">
      <w:pPr>
        <w:pStyle w:val="Normale1"/>
        <w:ind w:left="284"/>
        <w:jc w:val="both"/>
      </w:pPr>
    </w:p>
    <w:p w:rsidR="004C1FA6" w:rsidRDefault="00CE022F">
      <w:pPr>
        <w:pStyle w:val="Normale1"/>
        <w:ind w:left="284"/>
        <w:jc w:val="both"/>
      </w:pPr>
      <w:r>
        <w:rPr>
          <w:rFonts w:ascii="Arial" w:eastAsia="Arial" w:hAnsi="Arial" w:cs="Arial"/>
        </w:rPr>
        <w:t>Si segnala che in caso di percorsi di specializzazione, l’erogazione del contributo Erasmus è subordinato alla compatibilità del contratto di specializzazione con le borse di studio Erasmus. L’eventuale incompatibilità consente comunque la partecipazione al programma, ma la mobilità dovrà essere effettuata senza contributo.</w:t>
      </w:r>
    </w:p>
    <w:p w:rsidR="004C1FA6" w:rsidRDefault="004C1FA6">
      <w:pPr>
        <w:pStyle w:val="Normale1"/>
        <w:ind w:left="284"/>
      </w:pPr>
    </w:p>
    <w:p w:rsidR="004C1FA6" w:rsidRDefault="004C1FA6">
      <w:pPr>
        <w:pStyle w:val="Normale1"/>
        <w:ind w:left="284"/>
      </w:pPr>
    </w:p>
    <w:p w:rsidR="004C1FA6" w:rsidRDefault="00CE022F">
      <w:pPr>
        <w:pStyle w:val="Normale1"/>
        <w:ind w:left="284"/>
      </w:pPr>
      <w:r>
        <w:rPr>
          <w:rFonts w:ascii="Arial" w:eastAsia="Arial" w:hAnsi="Arial" w:cs="Arial"/>
        </w:rPr>
        <w:t>Si precisa inoltre che il candidato dovrà:</w:t>
      </w:r>
    </w:p>
    <w:p w:rsidR="004C1FA6" w:rsidRDefault="004C1FA6">
      <w:pPr>
        <w:pStyle w:val="Normale1"/>
      </w:pPr>
    </w:p>
    <w:p w:rsidR="004C1FA6" w:rsidRDefault="00CE022F">
      <w:pPr>
        <w:pStyle w:val="Normale1"/>
        <w:ind w:firstLine="708"/>
        <w:jc w:val="both"/>
      </w:pPr>
      <w:r>
        <w:rPr>
          <w:rFonts w:ascii="Arial" w:eastAsia="Arial" w:hAnsi="Arial" w:cs="Arial"/>
        </w:rPr>
        <w:t>-  Non essere residente nel Paese in cui intende svolgere la mobilità.</w:t>
      </w:r>
    </w:p>
    <w:p w:rsidR="004C1FA6" w:rsidRDefault="00CE022F">
      <w:pPr>
        <w:pStyle w:val="Normale1"/>
        <w:ind w:left="720"/>
        <w:jc w:val="both"/>
      </w:pPr>
      <w:r>
        <w:rPr>
          <w:rFonts w:ascii="Arial" w:eastAsia="Arial" w:hAnsi="Arial" w:cs="Arial"/>
        </w:rPr>
        <w:t>-  Conservare l’iscrizione a Sapienza per tutto il soggiorno di studio Erasmus.</w:t>
      </w:r>
    </w:p>
    <w:p w:rsidR="004C1FA6" w:rsidRDefault="00CE022F">
      <w:pPr>
        <w:pStyle w:val="Normale1"/>
        <w:ind w:left="709"/>
        <w:jc w:val="both"/>
      </w:pPr>
      <w:r>
        <w:rPr>
          <w:rFonts w:ascii="Arial" w:eastAsia="Arial" w:hAnsi="Arial" w:cs="Arial"/>
        </w:rPr>
        <w:t xml:space="preserve">- Non aver già utilizzato il numero massimo di mesi di mobilità consentito dal      programma Erasmus+ nel proprio ciclo di studi, corrispondente a 12 mesi </w:t>
      </w:r>
      <w:r w:rsidR="00D92750" w:rsidRPr="00D05844">
        <w:rPr>
          <w:rFonts w:ascii="Arial" w:eastAsia="Arial" w:hAnsi="Arial" w:cs="Arial"/>
        </w:rPr>
        <w:t xml:space="preserve">nell'ambito di ogni ciclo/livello di studio </w:t>
      </w:r>
      <w:r w:rsidRPr="00D05844">
        <w:rPr>
          <w:rFonts w:ascii="Arial" w:eastAsia="Arial" w:hAnsi="Arial" w:cs="Arial"/>
        </w:rPr>
        <w:t>e 24 mesi per le lauree a ciclo unico (nota 2 e 3).</w:t>
      </w:r>
    </w:p>
    <w:p w:rsidR="004C1FA6" w:rsidRDefault="00CE022F">
      <w:pPr>
        <w:pStyle w:val="Normale1"/>
        <w:tabs>
          <w:tab w:val="left" w:pos="993"/>
        </w:tabs>
        <w:ind w:left="708"/>
        <w:jc w:val="both"/>
      </w:pPr>
      <w:r>
        <w:rPr>
          <w:rFonts w:ascii="Arial" w:eastAsia="Arial" w:hAnsi="Arial" w:cs="Arial"/>
        </w:rPr>
        <w:t>- Possedere un'adeguata conoscenza della lingua straniera come previsto dalla sede nella quale si seguiranno i corsi e come indicato nell’elenco delle sedi a bando.</w:t>
      </w:r>
    </w:p>
    <w:p w:rsidR="004C1FA6" w:rsidRDefault="00CE022F">
      <w:pPr>
        <w:pStyle w:val="Normale1"/>
        <w:ind w:left="708"/>
        <w:jc w:val="both"/>
      </w:pPr>
      <w:r>
        <w:rPr>
          <w:rFonts w:ascii="Arial" w:eastAsia="Arial" w:hAnsi="Arial" w:cs="Arial"/>
        </w:rPr>
        <w:t>-  Non essere titolari di altro contributo comunitario (paragrafo 2a).</w:t>
      </w:r>
    </w:p>
    <w:p w:rsidR="004C1FA6" w:rsidRDefault="004C1FA6">
      <w:pPr>
        <w:pStyle w:val="Normale1"/>
        <w:ind w:left="708"/>
        <w:jc w:val="both"/>
      </w:pPr>
    </w:p>
    <w:p w:rsidR="004C1FA6" w:rsidRDefault="00CE022F">
      <w:pPr>
        <w:pStyle w:val="Normale1"/>
        <w:tabs>
          <w:tab w:val="left" w:pos="993"/>
        </w:tabs>
        <w:ind w:left="709" w:hanging="709"/>
        <w:jc w:val="both"/>
      </w:pPr>
      <w:r>
        <w:rPr>
          <w:rFonts w:ascii="Arial" w:eastAsia="Arial" w:hAnsi="Arial" w:cs="Arial"/>
        </w:rPr>
        <w:tab/>
        <w:t>Gli studenti iscritti nell’</w:t>
      </w:r>
      <w:proofErr w:type="spellStart"/>
      <w:r>
        <w:rPr>
          <w:rFonts w:ascii="Arial" w:eastAsia="Arial" w:hAnsi="Arial" w:cs="Arial"/>
        </w:rPr>
        <w:t>a.a.</w:t>
      </w:r>
      <w:proofErr w:type="spellEnd"/>
      <w:r>
        <w:rPr>
          <w:rFonts w:ascii="Arial" w:eastAsia="Arial" w:hAnsi="Arial" w:cs="Arial"/>
        </w:rPr>
        <w:t xml:space="preserve"> 2016/2017 al 3°anno della Laurea Triennale, che prevedono di iscriversi all’</w:t>
      </w:r>
      <w:proofErr w:type="spellStart"/>
      <w:r>
        <w:rPr>
          <w:rFonts w:ascii="Arial" w:eastAsia="Arial" w:hAnsi="Arial" w:cs="Arial"/>
        </w:rPr>
        <w:t>a.a.</w:t>
      </w:r>
      <w:proofErr w:type="spellEnd"/>
      <w:r>
        <w:rPr>
          <w:rFonts w:ascii="Arial" w:eastAsia="Arial" w:hAnsi="Arial" w:cs="Arial"/>
        </w:rPr>
        <w:t xml:space="preserve"> 2017/2018 in qualità di fuori corso, potranno partecipare utilizzando le offerte aperte alla laurea triennale.</w:t>
      </w:r>
    </w:p>
    <w:p w:rsidR="004C1FA6" w:rsidRDefault="00CE022F">
      <w:pPr>
        <w:pStyle w:val="Normale1"/>
        <w:tabs>
          <w:tab w:val="left" w:pos="993"/>
        </w:tabs>
        <w:ind w:left="709" w:hanging="709"/>
        <w:jc w:val="both"/>
      </w:pPr>
      <w:r>
        <w:rPr>
          <w:rFonts w:ascii="Arial" w:eastAsia="Arial" w:hAnsi="Arial" w:cs="Arial"/>
        </w:rPr>
        <w:tab/>
        <w:t xml:space="preserve">Gli studenti iscritti al terzo anno del Corso di Laurea Triennale possono candidarsi per la mobilità al Corso di Laurea Magistrale. Le relative candidature saranno accettate con riserva, in quanto il periodo di studio all'estero potrà essere attivato solamente dopo l'avvenuto conseguimento del titolo accademico triennale e l’iscrizione al livello di studi successivo (la formalizzazione dell'immatricolazione al </w:t>
      </w:r>
      <w:r w:rsidRPr="00D05844">
        <w:rPr>
          <w:rFonts w:ascii="Arial" w:eastAsia="Arial" w:hAnsi="Arial" w:cs="Arial"/>
        </w:rPr>
        <w:t xml:space="preserve">Corso di Laurea Magistrale prevede il pagamento della tassa universitaria, da </w:t>
      </w:r>
      <w:r w:rsidR="00D92750" w:rsidRPr="00D05844">
        <w:rPr>
          <w:rFonts w:ascii="Arial" w:eastAsia="Arial" w:hAnsi="Arial" w:cs="Arial"/>
        </w:rPr>
        <w:t xml:space="preserve">attestare mediante dichiarazione sostitutiva e da </w:t>
      </w:r>
      <w:r w:rsidRPr="00D05844">
        <w:rPr>
          <w:rFonts w:ascii="Arial" w:eastAsia="Arial" w:hAnsi="Arial" w:cs="Arial"/>
        </w:rPr>
        <w:t>produrre insieme alla dovuta documentazione).</w:t>
      </w:r>
    </w:p>
    <w:p w:rsidR="004C1FA6" w:rsidRDefault="004C1FA6">
      <w:pPr>
        <w:pStyle w:val="Normale1"/>
        <w:tabs>
          <w:tab w:val="left" w:pos="993"/>
        </w:tabs>
        <w:ind w:left="709" w:hanging="709"/>
        <w:jc w:val="both"/>
      </w:pPr>
    </w:p>
    <w:p w:rsidR="004C1FA6" w:rsidRDefault="004C1FA6">
      <w:pPr>
        <w:pStyle w:val="Normale1"/>
        <w:tabs>
          <w:tab w:val="left" w:pos="993"/>
        </w:tabs>
        <w:ind w:left="709" w:hanging="709"/>
        <w:jc w:val="both"/>
      </w:pPr>
    </w:p>
    <w:p w:rsidR="004C1FA6" w:rsidRDefault="00CE022F">
      <w:pPr>
        <w:pStyle w:val="Normale1"/>
        <w:numPr>
          <w:ilvl w:val="1"/>
          <w:numId w:val="5"/>
        </w:numPr>
        <w:ind w:hanging="360"/>
        <w:jc w:val="both"/>
        <w:rPr>
          <w:rFonts w:ascii="Arial" w:eastAsia="Arial" w:hAnsi="Arial" w:cs="Arial"/>
        </w:rPr>
      </w:pPr>
      <w:r>
        <w:rPr>
          <w:rFonts w:ascii="Arial" w:eastAsia="Arial" w:hAnsi="Arial" w:cs="Arial"/>
          <w:b/>
        </w:rPr>
        <w:t xml:space="preserve">REQUISITI DI FACOLTA’ </w:t>
      </w:r>
    </w:p>
    <w:p w:rsidR="004C1FA6" w:rsidRDefault="004C1FA6">
      <w:pPr>
        <w:pStyle w:val="Normale1"/>
        <w:jc w:val="both"/>
      </w:pPr>
    </w:p>
    <w:p w:rsidR="004C1FA6" w:rsidRDefault="00CE022F">
      <w:pPr>
        <w:pStyle w:val="Normale1"/>
        <w:jc w:val="both"/>
      </w:pPr>
      <w:r>
        <w:rPr>
          <w:rFonts w:ascii="Arial" w:eastAsia="Arial" w:hAnsi="Arial" w:cs="Arial"/>
        </w:rPr>
        <w:t xml:space="preserve">1. Per i corsi di laurea triennali di Biotecnologie e Scienze Farmaceutiche Applicate, per i </w:t>
      </w:r>
    </w:p>
    <w:p w:rsidR="004C1FA6" w:rsidRDefault="00CE022F">
      <w:pPr>
        <w:pStyle w:val="Normale1"/>
        <w:jc w:val="both"/>
      </w:pPr>
      <w:r>
        <w:rPr>
          <w:rFonts w:ascii="Arial" w:eastAsia="Arial" w:hAnsi="Arial" w:cs="Arial"/>
        </w:rPr>
        <w:t xml:space="preserve">    corsi di laurea Magistrale quinquennale di Farmacia e Chimica e Tecnologia </w:t>
      </w:r>
    </w:p>
    <w:p w:rsidR="004C1FA6" w:rsidRDefault="00CE022F">
      <w:pPr>
        <w:pStyle w:val="Normale1"/>
        <w:jc w:val="both"/>
      </w:pPr>
      <w:r>
        <w:rPr>
          <w:rFonts w:ascii="Arial" w:eastAsia="Arial" w:hAnsi="Arial" w:cs="Arial"/>
        </w:rPr>
        <w:lastRenderedPageBreak/>
        <w:t xml:space="preserve">    Farmaceutiche occorre aver acquisito secondo il seguente schema: (v. nota 4)</w:t>
      </w:r>
    </w:p>
    <w:p w:rsidR="004C1FA6" w:rsidRDefault="004C1FA6">
      <w:pPr>
        <w:pStyle w:val="Normale1"/>
        <w:ind w:left="556"/>
        <w:jc w:val="both"/>
      </w:pPr>
    </w:p>
    <w:p w:rsidR="004C1FA6" w:rsidRDefault="00CE022F">
      <w:pPr>
        <w:pStyle w:val="Normale1"/>
        <w:numPr>
          <w:ilvl w:val="0"/>
          <w:numId w:val="3"/>
        </w:numPr>
        <w:ind w:hanging="360"/>
        <w:jc w:val="both"/>
      </w:pPr>
      <w:r>
        <w:rPr>
          <w:rFonts w:ascii="Arial" w:eastAsia="Arial" w:hAnsi="Arial" w:cs="Arial"/>
        </w:rPr>
        <w:t>Iscritti al 1° anno: minimo 12 CFU</w:t>
      </w:r>
    </w:p>
    <w:p w:rsidR="004C1FA6" w:rsidRDefault="00CE022F">
      <w:pPr>
        <w:pStyle w:val="Normale1"/>
        <w:numPr>
          <w:ilvl w:val="0"/>
          <w:numId w:val="3"/>
        </w:numPr>
        <w:ind w:hanging="360"/>
        <w:jc w:val="both"/>
      </w:pPr>
      <w:r>
        <w:rPr>
          <w:rFonts w:ascii="Arial" w:eastAsia="Arial" w:hAnsi="Arial" w:cs="Arial"/>
        </w:rPr>
        <w:t>Iscritti al 2° anno: minimo 36 CFU</w:t>
      </w:r>
    </w:p>
    <w:p w:rsidR="004C1FA6" w:rsidRDefault="00CE022F">
      <w:pPr>
        <w:pStyle w:val="Normale1"/>
        <w:numPr>
          <w:ilvl w:val="0"/>
          <w:numId w:val="3"/>
        </w:numPr>
        <w:ind w:hanging="360"/>
        <w:jc w:val="both"/>
      </w:pPr>
      <w:r>
        <w:rPr>
          <w:rFonts w:ascii="Arial" w:eastAsia="Arial" w:hAnsi="Arial" w:cs="Arial"/>
        </w:rPr>
        <w:t>Iscritti al 3° anno: minimo 60 CFU</w:t>
      </w:r>
    </w:p>
    <w:p w:rsidR="004C1FA6" w:rsidRDefault="00CE022F">
      <w:pPr>
        <w:pStyle w:val="Normale1"/>
        <w:numPr>
          <w:ilvl w:val="0"/>
          <w:numId w:val="3"/>
        </w:numPr>
        <w:ind w:hanging="360"/>
        <w:jc w:val="both"/>
      </w:pPr>
      <w:r>
        <w:rPr>
          <w:rFonts w:ascii="Arial" w:eastAsia="Arial" w:hAnsi="Arial" w:cs="Arial"/>
        </w:rPr>
        <w:t>Iscritti dal 4° anno in poi: minimo 60 CFU</w:t>
      </w:r>
    </w:p>
    <w:p w:rsidR="004C1FA6" w:rsidRDefault="004C1FA6">
      <w:pPr>
        <w:pStyle w:val="Normale1"/>
        <w:ind w:left="556"/>
        <w:jc w:val="both"/>
      </w:pPr>
    </w:p>
    <w:p w:rsidR="004C1FA6" w:rsidRDefault="00CE022F">
      <w:pPr>
        <w:pStyle w:val="Normale1"/>
        <w:jc w:val="both"/>
      </w:pPr>
      <w:r>
        <w:rPr>
          <w:rFonts w:ascii="Arial" w:eastAsia="Arial" w:hAnsi="Arial" w:cs="Arial"/>
        </w:rPr>
        <w:t xml:space="preserve">2. Per i corsi di laurea magistrale biennale di Biotecnologie Farmaceutiche e </w:t>
      </w:r>
    </w:p>
    <w:p w:rsidR="004C1FA6" w:rsidRDefault="00CE022F">
      <w:pPr>
        <w:pStyle w:val="Normale1"/>
        <w:jc w:val="both"/>
      </w:pPr>
      <w:r>
        <w:rPr>
          <w:rFonts w:ascii="Arial" w:eastAsia="Arial" w:hAnsi="Arial" w:cs="Arial"/>
        </w:rPr>
        <w:t>   Biotecnologie Mediche fanno fede i </w:t>
      </w:r>
      <w:r>
        <w:rPr>
          <w:rFonts w:ascii="Arial" w:eastAsia="Arial" w:hAnsi="Arial" w:cs="Arial"/>
          <w:b/>
        </w:rPr>
        <w:t>180 crediti CFU</w:t>
      </w:r>
      <w:r>
        <w:rPr>
          <w:rFonts w:ascii="Arial" w:eastAsia="Arial" w:hAnsi="Arial" w:cs="Arial"/>
        </w:rPr>
        <w:t xml:space="preserve"> acquisiti durante il percorso della  </w:t>
      </w:r>
    </w:p>
    <w:p w:rsidR="004C1FA6" w:rsidRDefault="00CE022F">
      <w:pPr>
        <w:pStyle w:val="Normale1"/>
        <w:jc w:val="both"/>
      </w:pPr>
      <w:r>
        <w:rPr>
          <w:rFonts w:ascii="Arial" w:eastAsia="Arial" w:hAnsi="Arial" w:cs="Arial"/>
        </w:rPr>
        <w:t xml:space="preserve">   laurea triennale.</w:t>
      </w:r>
    </w:p>
    <w:p w:rsidR="004C1FA6" w:rsidRDefault="004C1FA6">
      <w:pPr>
        <w:pStyle w:val="Normale1"/>
        <w:jc w:val="both"/>
      </w:pPr>
    </w:p>
    <w:p w:rsidR="004C1FA6" w:rsidRDefault="00CE022F">
      <w:pPr>
        <w:pStyle w:val="Normale1"/>
        <w:jc w:val="both"/>
      </w:pPr>
      <w:r>
        <w:rPr>
          <w:rFonts w:ascii="Arial" w:eastAsia="Arial" w:hAnsi="Arial" w:cs="Arial"/>
        </w:rPr>
        <w:t xml:space="preserve">Si precisa che saranno considerati tutti i crediti maturati fino al momento della presentazione della domanda, acquisiti esclusivamente per esami, e registrati su </w:t>
      </w:r>
      <w:proofErr w:type="spellStart"/>
      <w:r>
        <w:rPr>
          <w:rFonts w:ascii="Arial" w:eastAsia="Arial" w:hAnsi="Arial" w:cs="Arial"/>
        </w:rPr>
        <w:t>Infostud</w:t>
      </w:r>
      <w:proofErr w:type="spellEnd"/>
      <w:r>
        <w:rPr>
          <w:rFonts w:ascii="Arial" w:eastAsia="Arial" w:hAnsi="Arial" w:cs="Arial"/>
        </w:rPr>
        <w:t xml:space="preserve"> alla data del 28 febbraio 2017 e sarà consentito allo studente di integrare i dati della carriera registrati su </w:t>
      </w:r>
      <w:proofErr w:type="spellStart"/>
      <w:r>
        <w:rPr>
          <w:rFonts w:ascii="Arial" w:eastAsia="Arial" w:hAnsi="Arial" w:cs="Arial"/>
        </w:rPr>
        <w:t>Infostud</w:t>
      </w:r>
      <w:proofErr w:type="spellEnd"/>
      <w:r>
        <w:rPr>
          <w:rFonts w:ascii="Arial" w:eastAsia="Arial" w:hAnsi="Arial" w:cs="Arial"/>
        </w:rPr>
        <w:t xml:space="preserve"> con le autocertificazioni relativamente agli esami non ancora presenti in carriera, vedi articolo 4 presentazione della domanda.</w:t>
      </w:r>
    </w:p>
    <w:p w:rsidR="004C1FA6" w:rsidRDefault="004C1FA6">
      <w:pPr>
        <w:pStyle w:val="Normale1"/>
        <w:jc w:val="both"/>
      </w:pPr>
    </w:p>
    <w:p w:rsidR="004C1FA6" w:rsidRDefault="00CE022F">
      <w:pPr>
        <w:pStyle w:val="Normale1"/>
        <w:jc w:val="both"/>
      </w:pPr>
      <w:r>
        <w:rPr>
          <w:rFonts w:ascii="Arial" w:eastAsia="Arial" w:hAnsi="Arial" w:cs="Arial"/>
        </w:rPr>
        <w:t>Il riconoscimento dei crediti relativi alle attività svolte in Erasmus dovrà avvenire prima della discussione della tesi e della conclusione del corso di studio frequentato. Il soggiorno di studio Erasmus dovrà terminare prima della conclusione del corso di studio frequentato.</w:t>
      </w:r>
    </w:p>
    <w:p w:rsidR="004C1FA6" w:rsidRDefault="004C1FA6">
      <w:pPr>
        <w:pStyle w:val="Normale1"/>
        <w:jc w:val="both"/>
      </w:pPr>
    </w:p>
    <w:p w:rsidR="004C1FA6" w:rsidRDefault="00CE022F">
      <w:pPr>
        <w:pStyle w:val="Normale1"/>
        <w:jc w:val="both"/>
      </w:pPr>
      <w:r>
        <w:rPr>
          <w:rFonts w:ascii="Arial" w:eastAsia="Arial" w:hAnsi="Arial" w:cs="Arial"/>
        </w:rPr>
        <w:t>3. Per tutti i suddetti corsi di laurea è necessario avere una media aritmetica dei voti, al momento della compilazione della domanda, </w:t>
      </w:r>
      <w:r>
        <w:rPr>
          <w:rFonts w:ascii="Arial" w:eastAsia="Arial" w:hAnsi="Arial" w:cs="Arial"/>
          <w:b/>
        </w:rPr>
        <w:t>non inferiore a 25/30</w:t>
      </w:r>
      <w:r>
        <w:rPr>
          <w:rFonts w:ascii="Arial" w:eastAsia="Arial" w:hAnsi="Arial" w:cs="Arial"/>
        </w:rPr>
        <w:t> (per i corsi di laurea magistrale biennale di Biotecnologie Farmaceutiche e Biotecnologie Mediche farà fede il curriculum della laurea triennale).</w:t>
      </w:r>
    </w:p>
    <w:p w:rsidR="004C1FA6" w:rsidRDefault="004C1FA6">
      <w:pPr>
        <w:pStyle w:val="Normale1"/>
        <w:jc w:val="both"/>
      </w:pPr>
    </w:p>
    <w:p w:rsidR="004C1FA6" w:rsidRDefault="00CE022F">
      <w:pPr>
        <w:pStyle w:val="Normale1"/>
        <w:jc w:val="both"/>
      </w:pPr>
      <w:r>
        <w:rPr>
          <w:rFonts w:ascii="Arial" w:eastAsia="Arial" w:hAnsi="Arial" w:cs="Arial"/>
        </w:rPr>
        <w:t>4. Tutti gli studenti che intendono effettuare un  </w:t>
      </w:r>
      <w:r>
        <w:rPr>
          <w:rFonts w:ascii="Arial" w:eastAsia="Arial" w:hAnsi="Arial" w:cs="Arial"/>
          <w:b/>
        </w:rPr>
        <w:t>LABORATORY TRAINING</w:t>
      </w:r>
      <w:r>
        <w:rPr>
          <w:rFonts w:ascii="Arial" w:eastAsia="Arial" w:hAnsi="Arial" w:cs="Arial"/>
        </w:rPr>
        <w:t> finalizzato alla preparazione della tesi di laurea, devono allegare alla domanda una lettera di accettazione ricevuta per e-mail da parte dell'</w:t>
      </w:r>
      <w:proofErr w:type="spellStart"/>
      <w:r>
        <w:rPr>
          <w:rFonts w:ascii="Arial" w:eastAsia="Arial" w:hAnsi="Arial" w:cs="Arial"/>
        </w:rPr>
        <w:t>Universita</w:t>
      </w:r>
      <w:proofErr w:type="spellEnd"/>
      <w:r>
        <w:rPr>
          <w:rFonts w:ascii="Arial" w:eastAsia="Arial" w:hAnsi="Arial" w:cs="Arial"/>
        </w:rPr>
        <w:t>' partner, nella quale deve essere riportato l’intero nome della sede dell’Università prescelta  nell'ambito del programma ERASMUS. Devono inoltre indicare l’argomento della ricerca e ottenere l’approvazione del relatore italiano.</w:t>
      </w:r>
    </w:p>
    <w:p w:rsidR="004C1FA6" w:rsidRDefault="00CE022F">
      <w:pPr>
        <w:pStyle w:val="Normale1"/>
        <w:spacing w:before="100" w:after="100"/>
        <w:jc w:val="both"/>
      </w:pPr>
      <w:r>
        <w:rPr>
          <w:rFonts w:ascii="Arial" w:eastAsia="Arial" w:hAnsi="Arial" w:cs="Arial"/>
        </w:rPr>
        <w:t xml:space="preserve">5. Il bando e' aperto anche agli studenti del terzo livello iscritti al corso di Specializzazione in Farmacia Ospedaliera e alla Scuola di Specializzazione in Valutazione e Gestione del Rischio Chimico o ad uno dei seguenti corsi di dottorato di ricerca: in Dottorato in Scienze Farmaceutiche (DIP. Chimica e Tecnologie del Farmaco), Dottorato in Biologia Ambientale ed Evoluzionistica (DIP. Biologia Ambientale), Dottorato in Farmacologia (DIP. Fisiologia, Farmacologia “Vittorio </w:t>
      </w:r>
      <w:proofErr w:type="spellStart"/>
      <w:r>
        <w:rPr>
          <w:rFonts w:ascii="Arial" w:eastAsia="Arial" w:hAnsi="Arial" w:cs="Arial"/>
        </w:rPr>
        <w:t>Erspamer</w:t>
      </w:r>
      <w:proofErr w:type="spellEnd"/>
      <w:r>
        <w:rPr>
          <w:rFonts w:ascii="Arial" w:eastAsia="Arial" w:hAnsi="Arial" w:cs="Arial"/>
        </w:rPr>
        <w:t xml:space="preserve">”), Dottorato in Tossicologia (DIP. Fisiologia, Farmacologia “Vittorio </w:t>
      </w:r>
      <w:proofErr w:type="spellStart"/>
      <w:r>
        <w:rPr>
          <w:rFonts w:ascii="Arial" w:eastAsia="Arial" w:hAnsi="Arial" w:cs="Arial"/>
        </w:rPr>
        <w:t>Erspamer</w:t>
      </w:r>
      <w:proofErr w:type="spellEnd"/>
      <w:r>
        <w:rPr>
          <w:rFonts w:ascii="Arial" w:eastAsia="Arial" w:hAnsi="Arial" w:cs="Arial"/>
        </w:rPr>
        <w:t>”) e Dottorato in Biochimica (DIP. Scienze Biochimiche). Tuttavia, </w:t>
      </w:r>
      <w:r>
        <w:rPr>
          <w:rFonts w:ascii="Arial" w:eastAsia="Arial" w:hAnsi="Arial" w:cs="Arial"/>
          <w:b/>
        </w:rPr>
        <w:t>Specializzandi e Dottorandi dovranno allegare alla domanda il nulla osta all'accettazione da parte dell'</w:t>
      </w:r>
      <w:proofErr w:type="spellStart"/>
      <w:r>
        <w:rPr>
          <w:rFonts w:ascii="Arial" w:eastAsia="Arial" w:hAnsi="Arial" w:cs="Arial"/>
          <w:b/>
        </w:rPr>
        <w:t>Universita</w:t>
      </w:r>
      <w:proofErr w:type="spellEnd"/>
      <w:r>
        <w:rPr>
          <w:rFonts w:ascii="Arial" w:eastAsia="Arial" w:hAnsi="Arial" w:cs="Arial"/>
          <w:b/>
        </w:rPr>
        <w:t xml:space="preserve">' partner nell'ambito del programma ERASMUS (anche solo per e-mail), controfirmato dal Coordinatore Accademico per la Mobilità (CAM) della </w:t>
      </w:r>
      <w:proofErr w:type="spellStart"/>
      <w:r>
        <w:rPr>
          <w:rFonts w:ascii="Arial" w:eastAsia="Arial" w:hAnsi="Arial" w:cs="Arial"/>
          <w:b/>
        </w:rPr>
        <w:t>Facolta'</w:t>
      </w:r>
      <w:proofErr w:type="spellEnd"/>
      <w:r>
        <w:rPr>
          <w:rFonts w:ascii="Arial" w:eastAsia="Arial" w:hAnsi="Arial" w:cs="Arial"/>
          <w:b/>
        </w:rPr>
        <w:t xml:space="preserve"> di appartenenza Prof.  Luciano </w:t>
      </w:r>
      <w:proofErr w:type="spellStart"/>
      <w:r>
        <w:rPr>
          <w:rFonts w:ascii="Arial" w:eastAsia="Arial" w:hAnsi="Arial" w:cs="Arial"/>
          <w:b/>
        </w:rPr>
        <w:t>Saso</w:t>
      </w:r>
      <w:proofErr w:type="spellEnd"/>
      <w:r>
        <w:rPr>
          <w:rFonts w:ascii="Arial" w:eastAsia="Arial" w:hAnsi="Arial" w:cs="Arial"/>
          <w:b/>
        </w:rPr>
        <w:t>, e il nulla osta</w:t>
      </w:r>
      <w:r>
        <w:rPr>
          <w:rFonts w:ascii="Arial" w:eastAsia="Arial" w:hAnsi="Arial" w:cs="Arial"/>
        </w:rPr>
        <w:t> </w:t>
      </w:r>
      <w:r>
        <w:rPr>
          <w:rFonts w:ascii="Arial" w:eastAsia="Arial" w:hAnsi="Arial" w:cs="Arial"/>
          <w:b/>
        </w:rPr>
        <w:t>del Coordinatore del Dottorato o Direttore della Scuola di Specializzazione. In assenza di tali documenti, le domande non potranno essere accolte.</w:t>
      </w:r>
    </w:p>
    <w:p w:rsidR="004C1FA6" w:rsidRDefault="00CE022F">
      <w:pPr>
        <w:pStyle w:val="Normale1"/>
        <w:spacing w:before="100" w:after="100"/>
        <w:jc w:val="both"/>
      </w:pPr>
      <w:r>
        <w:rPr>
          <w:rFonts w:ascii="Arial" w:eastAsia="Arial" w:hAnsi="Arial" w:cs="Arial"/>
        </w:rPr>
        <w:lastRenderedPageBreak/>
        <w:t>Si precisa che il presente bando </w:t>
      </w:r>
      <w:r>
        <w:rPr>
          <w:rFonts w:ascii="Arial" w:eastAsia="Arial" w:hAnsi="Arial" w:cs="Arial"/>
          <w:b/>
          <w:u w:val="single"/>
        </w:rPr>
        <w:t>non è aperto</w:t>
      </w:r>
      <w:r>
        <w:rPr>
          <w:rFonts w:ascii="Arial" w:eastAsia="Arial" w:hAnsi="Arial" w:cs="Arial"/>
        </w:rPr>
        <w:t> agli studenti iscritti ad altre Facoltà.</w:t>
      </w:r>
    </w:p>
    <w:p w:rsidR="004C1FA6" w:rsidRDefault="00CE022F">
      <w:pPr>
        <w:pStyle w:val="Normale1"/>
        <w:spacing w:before="100" w:after="100"/>
        <w:ind w:left="350"/>
        <w:jc w:val="both"/>
      </w:pPr>
      <w:r>
        <w:rPr>
          <w:rFonts w:ascii="Arial" w:eastAsia="Arial" w:hAnsi="Arial" w:cs="Arial"/>
        </w:rPr>
        <w:t>Si precisa inoltre che il presente bando </w:t>
      </w:r>
      <w:r>
        <w:rPr>
          <w:rFonts w:ascii="Arial" w:eastAsia="Arial" w:hAnsi="Arial" w:cs="Arial"/>
          <w:b/>
          <w:u w:val="single"/>
        </w:rPr>
        <w:t>non è aperto</w:t>
      </w:r>
      <w:r>
        <w:rPr>
          <w:rFonts w:ascii="Arial" w:eastAsia="Arial" w:hAnsi="Arial" w:cs="Arial"/>
        </w:rPr>
        <w:t> agli studenti iscritti ai corsi interfacoltà fatta eccezione biotecnologie e biotecnologie mediche.</w:t>
      </w:r>
    </w:p>
    <w:p w:rsidR="004C1FA6" w:rsidRDefault="00CE022F">
      <w:pPr>
        <w:pStyle w:val="Normale1"/>
        <w:spacing w:before="100" w:after="100"/>
        <w:ind w:left="284"/>
        <w:jc w:val="both"/>
      </w:pPr>
      <w:r>
        <w:rPr>
          <w:rFonts w:ascii="Arial" w:eastAsia="Arial" w:hAnsi="Arial" w:cs="Arial"/>
        </w:rPr>
        <w:t xml:space="preserve">Si precisa che non possono essere assegnate mobilità Erasmus+ per motivi di studio ai laureati che svolgono tirocini professionalizzanti </w:t>
      </w:r>
      <w:proofErr w:type="spellStart"/>
      <w:r>
        <w:rPr>
          <w:rFonts w:ascii="Arial" w:eastAsia="Arial" w:hAnsi="Arial" w:cs="Arial"/>
        </w:rPr>
        <w:t>post-lauream</w:t>
      </w:r>
      <w:proofErr w:type="spellEnd"/>
      <w:r>
        <w:rPr>
          <w:rFonts w:ascii="Arial" w:eastAsia="Arial" w:hAnsi="Arial" w:cs="Arial"/>
        </w:rPr>
        <w:t xml:space="preserve">, gli studenti interessati a questa opportunità dovranno concorrere al bando </w:t>
      </w:r>
      <w:proofErr w:type="spellStart"/>
      <w:r>
        <w:rPr>
          <w:rFonts w:ascii="Arial" w:eastAsia="Arial" w:hAnsi="Arial" w:cs="Arial"/>
        </w:rPr>
        <w:t>Erasmus+</w:t>
      </w:r>
      <w:proofErr w:type="spellEnd"/>
      <w:r>
        <w:rPr>
          <w:rFonts w:ascii="Arial" w:eastAsia="Arial" w:hAnsi="Arial" w:cs="Arial"/>
        </w:rPr>
        <w:t xml:space="preserve"> per tirocinio </w:t>
      </w:r>
      <w:proofErr w:type="spellStart"/>
      <w:r>
        <w:rPr>
          <w:rFonts w:ascii="Arial" w:eastAsia="Arial" w:hAnsi="Arial" w:cs="Arial"/>
        </w:rPr>
        <w:t>pre</w:t>
      </w:r>
      <w:proofErr w:type="spellEnd"/>
      <w:r>
        <w:rPr>
          <w:rFonts w:ascii="Arial" w:eastAsia="Arial" w:hAnsi="Arial" w:cs="Arial"/>
        </w:rPr>
        <w:t> e post laurea (i bandi verranno pubblicati alla pagina </w:t>
      </w:r>
      <w:hyperlink r:id="rId8">
        <w:r>
          <w:rPr>
            <w:rFonts w:ascii="Arial" w:eastAsia="Arial" w:hAnsi="Arial" w:cs="Arial"/>
          </w:rPr>
          <w:t>http://www.uniroma1.it/erasmus/tirocini</w:t>
        </w:r>
      </w:hyperlink>
      <w:r>
        <w:rPr>
          <w:rFonts w:ascii="Arial" w:eastAsia="Arial" w:hAnsi="Arial" w:cs="Arial"/>
        </w:rPr>
        <w:t> ).</w:t>
      </w:r>
    </w:p>
    <w:p w:rsidR="004C1FA6" w:rsidRDefault="00CE022F">
      <w:pPr>
        <w:pStyle w:val="Normale1"/>
        <w:numPr>
          <w:ilvl w:val="1"/>
          <w:numId w:val="5"/>
        </w:numPr>
        <w:spacing w:before="100" w:after="100"/>
        <w:ind w:hanging="360"/>
        <w:jc w:val="both"/>
        <w:rPr>
          <w:rFonts w:ascii="Arial" w:eastAsia="Arial" w:hAnsi="Arial" w:cs="Arial"/>
        </w:rPr>
      </w:pPr>
      <w:r>
        <w:rPr>
          <w:rFonts w:ascii="Arial" w:eastAsia="Arial" w:hAnsi="Arial" w:cs="Arial"/>
          <w:b/>
        </w:rPr>
        <w:t>REQUISITI LINGUISTICI</w:t>
      </w:r>
    </w:p>
    <w:p w:rsidR="004C1FA6" w:rsidRDefault="00CE022F">
      <w:pPr>
        <w:pStyle w:val="Normale1"/>
        <w:ind w:left="284" w:firstLine="271"/>
        <w:jc w:val="both"/>
      </w:pPr>
      <w:r>
        <w:rPr>
          <w:rFonts w:ascii="Arial" w:eastAsia="Arial" w:hAnsi="Arial" w:cs="Arial"/>
        </w:rPr>
        <w:t>Erasmus+ considera di fondamentale importanza il possesso dei requisiti linguistici per lo svolgimento di una mobilità di qualità. Lo studente nel Learning Agreement dichiarerà di essere in possesso del livello di conoscenza della lingua richiesto dalla sede di destinazione, salvo diverse disposizioni da parte della sede ospitante stessa.</w:t>
      </w:r>
    </w:p>
    <w:p w:rsidR="004C1FA6" w:rsidRDefault="004C1FA6">
      <w:pPr>
        <w:pStyle w:val="Normale1"/>
        <w:ind w:left="284" w:firstLine="271"/>
        <w:jc w:val="both"/>
      </w:pPr>
    </w:p>
    <w:p w:rsidR="004C1FA6" w:rsidRDefault="00CE022F">
      <w:pPr>
        <w:pStyle w:val="Normale1"/>
        <w:ind w:left="284" w:firstLine="271"/>
        <w:jc w:val="both"/>
      </w:pPr>
      <w:r>
        <w:rPr>
          <w:rFonts w:ascii="Arial" w:eastAsia="Arial" w:hAnsi="Arial" w:cs="Arial"/>
        </w:rPr>
        <w:t>A tale scopo il candidato deve:</w:t>
      </w:r>
    </w:p>
    <w:p w:rsidR="004C1FA6" w:rsidRDefault="004C1FA6">
      <w:pPr>
        <w:pStyle w:val="Normale1"/>
        <w:ind w:left="284" w:firstLine="271"/>
        <w:jc w:val="both"/>
      </w:pPr>
    </w:p>
    <w:p w:rsidR="004C1FA6" w:rsidRDefault="00CE022F">
      <w:pPr>
        <w:pStyle w:val="Normale1"/>
        <w:ind w:left="284" w:firstLine="271"/>
        <w:jc w:val="both"/>
      </w:pPr>
      <w:r>
        <w:rPr>
          <w:rFonts w:ascii="Arial" w:eastAsia="Arial" w:hAnsi="Arial" w:cs="Arial"/>
        </w:rPr>
        <w:t>- Verificare di essere in possesso del livello linguistico richiesto dalla/le sede/i di interesse, riportato nell’elenco delle sedi di destinazione, salvo diverse disposizioni da parte della sede ospitante stessa.</w:t>
      </w:r>
    </w:p>
    <w:p w:rsidR="004C1FA6" w:rsidRDefault="00CE022F">
      <w:pPr>
        <w:pStyle w:val="Normale1"/>
        <w:ind w:left="284" w:firstLine="271"/>
        <w:jc w:val="both"/>
      </w:pPr>
      <w:r>
        <w:rPr>
          <w:rFonts w:ascii="Arial" w:eastAsia="Arial" w:hAnsi="Arial" w:cs="Arial"/>
        </w:rPr>
        <w:t>- Controllare sul sito della sede di destinazione se ci siano ulteriori informazioni o adempimenti in merito ai requisiti linguistici richiesti.</w:t>
      </w:r>
    </w:p>
    <w:p w:rsidR="004C1FA6" w:rsidRDefault="00CE022F">
      <w:pPr>
        <w:pStyle w:val="Normale1"/>
        <w:ind w:left="284" w:firstLine="271"/>
        <w:jc w:val="both"/>
      </w:pPr>
      <w:r>
        <w:rPr>
          <w:rFonts w:ascii="Arial" w:eastAsia="Arial" w:hAnsi="Arial" w:cs="Arial"/>
        </w:rPr>
        <w:t>- Essere in possesso del livello di lingua richiesto dalla sede di destinazione al    momento dell’invio dell’Application Form.</w:t>
      </w:r>
    </w:p>
    <w:p w:rsidR="004C1FA6" w:rsidRDefault="00CE022F">
      <w:pPr>
        <w:pStyle w:val="Normale1"/>
        <w:ind w:left="284" w:firstLine="271"/>
        <w:jc w:val="both"/>
      </w:pPr>
      <w:r>
        <w:rPr>
          <w:rFonts w:ascii="Arial" w:eastAsia="Arial" w:hAnsi="Arial" w:cs="Arial"/>
        </w:rPr>
        <w:t xml:space="preserve">Inoltre, qualora lo studente dovesse risultare vincitore, dovrà altresì </w:t>
      </w:r>
    </w:p>
    <w:p w:rsidR="004C1FA6" w:rsidRDefault="00CE022F">
      <w:pPr>
        <w:pStyle w:val="Normale1"/>
        <w:ind w:left="284" w:firstLine="271"/>
        <w:jc w:val="both"/>
      </w:pPr>
      <w:r>
        <w:rPr>
          <w:rFonts w:ascii="Arial" w:eastAsia="Arial" w:hAnsi="Arial" w:cs="Arial"/>
        </w:rPr>
        <w:t>- Presentare  il certificato ufficiale (es. IELTS, DELF, PLE etc.) attestante la conoscenza linguistica in fase di assegnazione della mobilità, qualora la sede di destinazione ne indicasse come obbligatorio il possesso, pena la non ammissibilità alla mobilità.</w:t>
      </w:r>
    </w:p>
    <w:p w:rsidR="004C1FA6" w:rsidRDefault="00CE022F">
      <w:pPr>
        <w:pStyle w:val="Normale1"/>
        <w:ind w:left="284" w:firstLine="271"/>
        <w:jc w:val="both"/>
      </w:pPr>
      <w:r>
        <w:rPr>
          <w:rFonts w:ascii="Arial" w:eastAsia="Arial" w:hAnsi="Arial" w:cs="Arial"/>
        </w:rPr>
        <w:t xml:space="preserve">- Ottenere e presentare una certificazione linguistica del livello richiesto, rilasciata da strutture idonee (Facoltà o altro) nel caso in cui la sede di destinazione non faccia espressa richiesta di una certificazione linguistica ufficiale. Eventuali autocertificazioni in fase di candidatura saranno oggetto di accertamento </w:t>
      </w:r>
      <w:r>
        <w:rPr>
          <w:rFonts w:ascii="Arial" w:eastAsia="Arial" w:hAnsi="Arial" w:cs="Arial"/>
          <w:b/>
          <w:u w:val="single"/>
        </w:rPr>
        <w:t>nel corso della procedura selettiva attraverso un colloquio obbligatorio di cui all’art. 5.</w:t>
      </w:r>
      <w:r>
        <w:rPr>
          <w:rFonts w:ascii="Arial" w:eastAsia="Arial" w:hAnsi="Arial" w:cs="Arial"/>
        </w:rPr>
        <w:t xml:space="preserve"> </w:t>
      </w:r>
    </w:p>
    <w:p w:rsidR="004C1FA6" w:rsidRDefault="00CE022F">
      <w:pPr>
        <w:pStyle w:val="Normale1"/>
        <w:ind w:left="284" w:firstLine="271"/>
        <w:jc w:val="both"/>
      </w:pPr>
      <w:r>
        <w:rPr>
          <w:rFonts w:ascii="Arial" w:eastAsia="Arial" w:hAnsi="Arial" w:cs="Arial"/>
        </w:rPr>
        <w:t>- Il possesso di un certificato ufficiale di conoscenza della lingua indicata dal partner costituirà titolo preferenziale in fase di assegnazione esclusivamente in caso di pari punteggio.</w:t>
      </w:r>
    </w:p>
    <w:p w:rsidR="004C1FA6" w:rsidRDefault="004C1FA6">
      <w:pPr>
        <w:pStyle w:val="Normale1"/>
        <w:ind w:left="284"/>
        <w:jc w:val="both"/>
      </w:pPr>
    </w:p>
    <w:p w:rsidR="004C1FA6" w:rsidRDefault="00CE022F">
      <w:pPr>
        <w:pStyle w:val="Normale1"/>
        <w:ind w:left="284"/>
        <w:jc w:val="both"/>
      </w:pPr>
      <w:r>
        <w:rPr>
          <w:rFonts w:ascii="Arial" w:eastAsia="Arial" w:hAnsi="Arial" w:cs="Arial"/>
        </w:rPr>
        <w:t>L’accertamento linguistico avverrà come da indicazioni presenti all’art. 5.</w:t>
      </w:r>
    </w:p>
    <w:p w:rsidR="004C1FA6" w:rsidRDefault="004C1FA6">
      <w:pPr>
        <w:pStyle w:val="Normale1"/>
        <w:ind w:left="284"/>
        <w:jc w:val="both"/>
      </w:pPr>
    </w:p>
    <w:p w:rsidR="004C1FA6" w:rsidRDefault="00CE022F">
      <w:pPr>
        <w:pStyle w:val="Normale1"/>
        <w:ind w:left="284"/>
        <w:jc w:val="both"/>
      </w:pPr>
      <w:r>
        <w:rPr>
          <w:rFonts w:ascii="Arial" w:eastAsia="Arial" w:hAnsi="Arial" w:cs="Arial"/>
          <w:b/>
        </w:rPr>
        <w:t>Lo studente è comunque responsabile del raggiungimento del requisito linguistico richiesto dalla sede ospitante.</w:t>
      </w:r>
    </w:p>
    <w:p w:rsidR="004C1FA6" w:rsidRDefault="004C1FA6">
      <w:pPr>
        <w:pStyle w:val="Normale1"/>
        <w:ind w:left="284"/>
        <w:jc w:val="both"/>
      </w:pPr>
    </w:p>
    <w:p w:rsidR="004C1FA6" w:rsidRDefault="004C1FA6">
      <w:pPr>
        <w:pStyle w:val="Normale1"/>
        <w:ind w:left="284"/>
        <w:jc w:val="both"/>
      </w:pPr>
    </w:p>
    <w:p w:rsidR="004C1FA6" w:rsidRDefault="004C1FA6">
      <w:pPr>
        <w:pStyle w:val="Normale1"/>
        <w:ind w:left="284"/>
        <w:jc w:val="both"/>
      </w:pPr>
    </w:p>
    <w:p w:rsidR="004C1FA6" w:rsidRDefault="00CE022F">
      <w:pPr>
        <w:pStyle w:val="Normale1"/>
        <w:ind w:left="284"/>
        <w:jc w:val="both"/>
      </w:pPr>
      <w:r>
        <w:rPr>
          <w:rFonts w:ascii="Arial" w:eastAsia="Arial" w:hAnsi="Arial" w:cs="Arial"/>
          <w:b/>
        </w:rPr>
        <w:t>2. CONTRIBUTI E BENEFICI ECONOMICI</w:t>
      </w:r>
    </w:p>
    <w:p w:rsidR="004C1FA6" w:rsidRDefault="004C1FA6">
      <w:pPr>
        <w:pStyle w:val="Normale1"/>
        <w:ind w:left="284"/>
        <w:jc w:val="both"/>
      </w:pPr>
    </w:p>
    <w:p w:rsidR="004C1FA6" w:rsidRDefault="00CE022F">
      <w:pPr>
        <w:pStyle w:val="Normale1"/>
        <w:ind w:left="284"/>
        <w:jc w:val="both"/>
      </w:pPr>
      <w:r>
        <w:rPr>
          <w:rFonts w:ascii="Arial" w:eastAsia="Arial" w:hAnsi="Arial" w:cs="Arial"/>
        </w:rPr>
        <w:t xml:space="preserve">I contributi alla mobilità sono da considerarsi come un contributo alle maggiori spese legate al soggiorno all’estero e sono vincolati all’effettiva partecipazione alle attività di mobilità. </w:t>
      </w:r>
    </w:p>
    <w:p w:rsidR="004C1FA6" w:rsidRDefault="00CE022F">
      <w:pPr>
        <w:pStyle w:val="Normale1"/>
        <w:ind w:left="284"/>
        <w:jc w:val="both"/>
      </w:pPr>
      <w:r>
        <w:rPr>
          <w:rFonts w:ascii="Arial" w:eastAsia="Arial" w:hAnsi="Arial" w:cs="Arial"/>
        </w:rPr>
        <w:t>Per poter beneficiare dei contributi relativi alla mobilità è necessario firmare prima della partenza, il contratto finanziario presso l’ufficio Erasmus di competenza.</w:t>
      </w:r>
    </w:p>
    <w:p w:rsidR="004C1FA6" w:rsidRDefault="004C1FA6">
      <w:pPr>
        <w:pStyle w:val="Normale1"/>
        <w:ind w:left="284"/>
        <w:jc w:val="both"/>
      </w:pPr>
    </w:p>
    <w:p w:rsidR="004C1FA6" w:rsidRDefault="00CE022F">
      <w:pPr>
        <w:pStyle w:val="Normale1"/>
        <w:ind w:left="284"/>
        <w:jc w:val="both"/>
      </w:pPr>
      <w:r>
        <w:rPr>
          <w:rFonts w:ascii="Arial" w:eastAsia="Arial" w:hAnsi="Arial" w:cs="Arial"/>
        </w:rPr>
        <w:t xml:space="preserve">Per gli studenti che effettuano un periodo di studio all’estero e che </w:t>
      </w:r>
      <w:r>
        <w:rPr>
          <w:rFonts w:ascii="Arial" w:eastAsia="Arial" w:hAnsi="Arial" w:cs="Arial"/>
          <w:b/>
        </w:rPr>
        <w:t>NON ABBIANO SOSTENUTO ALCUN ESAME</w:t>
      </w:r>
      <w:r>
        <w:rPr>
          <w:rFonts w:ascii="Arial" w:eastAsia="Arial" w:hAnsi="Arial" w:cs="Arial"/>
        </w:rPr>
        <w:t xml:space="preserve"> (nel conteggio è escluso il corso base di lingua) e/o non attestino il lavoro di tesi o di ricerca di dottorato o di master, </w:t>
      </w:r>
      <w:r>
        <w:rPr>
          <w:rFonts w:ascii="Arial" w:eastAsia="Arial" w:hAnsi="Arial" w:cs="Arial"/>
          <w:b/>
        </w:rPr>
        <w:t>non sarà corrisposto il contributo MIUR.</w:t>
      </w:r>
    </w:p>
    <w:p w:rsidR="004C1FA6" w:rsidRDefault="004C1FA6">
      <w:pPr>
        <w:pStyle w:val="Normale1"/>
        <w:ind w:left="284"/>
        <w:jc w:val="both"/>
      </w:pPr>
    </w:p>
    <w:p w:rsidR="004C1FA6" w:rsidRDefault="00CE022F">
      <w:pPr>
        <w:pStyle w:val="Normale1"/>
        <w:ind w:left="284"/>
        <w:jc w:val="both"/>
      </w:pPr>
      <w:r>
        <w:rPr>
          <w:rFonts w:ascii="Arial" w:eastAsia="Arial" w:hAnsi="Arial" w:cs="Arial"/>
        </w:rPr>
        <w:t>I contributi alla mobilità sono i seguenti:</w:t>
      </w:r>
    </w:p>
    <w:p w:rsidR="004C1FA6" w:rsidRDefault="004C1FA6">
      <w:pPr>
        <w:pStyle w:val="Normale1"/>
        <w:ind w:left="644"/>
        <w:jc w:val="both"/>
      </w:pPr>
    </w:p>
    <w:p w:rsidR="004C1FA6" w:rsidRDefault="00CE022F">
      <w:pPr>
        <w:pStyle w:val="Normale1"/>
        <w:numPr>
          <w:ilvl w:val="0"/>
          <w:numId w:val="2"/>
        </w:numPr>
        <w:ind w:hanging="360"/>
        <w:jc w:val="both"/>
        <w:rPr>
          <w:rFonts w:ascii="Arial" w:eastAsia="Arial" w:hAnsi="Arial" w:cs="Arial"/>
        </w:rPr>
      </w:pPr>
      <w:r>
        <w:rPr>
          <w:rFonts w:ascii="Arial" w:eastAsia="Arial" w:hAnsi="Arial" w:cs="Arial"/>
          <w:b/>
        </w:rPr>
        <w:t>CONTRIBUTO COMUNITARIO</w:t>
      </w:r>
    </w:p>
    <w:p w:rsidR="004C1FA6" w:rsidRDefault="00CE022F">
      <w:pPr>
        <w:pStyle w:val="Normale1"/>
        <w:ind w:left="644"/>
        <w:jc w:val="both"/>
      </w:pPr>
      <w:r>
        <w:rPr>
          <w:rFonts w:ascii="Arial" w:eastAsia="Arial" w:hAnsi="Arial" w:cs="Arial"/>
        </w:rPr>
        <w:t>Il contributo comunitario Erasmus+ 2017/2018 è differenziato in relazione al costo della vita del Paese di destinazione. Le quote dei contributi di mobilità, fissati a livello nazionale, avranno i seguenti importi:</w:t>
      </w:r>
    </w:p>
    <w:p w:rsidR="004C1FA6" w:rsidRDefault="00CE022F">
      <w:pPr>
        <w:pStyle w:val="Normale1"/>
        <w:ind w:left="644"/>
        <w:jc w:val="both"/>
      </w:pPr>
      <w:r>
        <w:rPr>
          <w:rFonts w:ascii="Arial" w:eastAsia="Arial" w:hAnsi="Arial" w:cs="Arial"/>
        </w:rPr>
        <w:br/>
        <w:t>• </w:t>
      </w:r>
      <w:r>
        <w:rPr>
          <w:rFonts w:ascii="Arial" w:eastAsia="Arial" w:hAnsi="Arial" w:cs="Arial"/>
          <w:b/>
        </w:rPr>
        <w:t>Paesi del gruppo 1</w:t>
      </w:r>
      <w:r>
        <w:rPr>
          <w:rFonts w:ascii="Arial" w:eastAsia="Arial" w:hAnsi="Arial" w:cs="Arial"/>
        </w:rPr>
        <w:t xml:space="preserve"> (costo della vita alto): Austria, Danimarca, Finlandia, Francia, Irlanda, Lichtenstein, Norvegia, Svezia, Regno Unito: </w:t>
      </w:r>
      <w:r>
        <w:rPr>
          <w:rFonts w:ascii="Arial" w:eastAsia="Arial" w:hAnsi="Arial" w:cs="Arial"/>
          <w:b/>
        </w:rPr>
        <w:t>280 €/mese</w:t>
      </w:r>
      <w:r>
        <w:rPr>
          <w:rFonts w:ascii="Arial" w:eastAsia="Arial" w:hAnsi="Arial" w:cs="Arial"/>
        </w:rPr>
        <w:t>.</w:t>
      </w:r>
    </w:p>
    <w:p w:rsidR="004C1FA6" w:rsidRDefault="00CE022F">
      <w:pPr>
        <w:pStyle w:val="Normale1"/>
        <w:ind w:left="644"/>
        <w:jc w:val="both"/>
      </w:pPr>
      <w:r>
        <w:rPr>
          <w:rFonts w:ascii="Arial" w:eastAsia="Arial" w:hAnsi="Arial" w:cs="Arial"/>
        </w:rPr>
        <w:br/>
        <w:t>• </w:t>
      </w:r>
      <w:r>
        <w:rPr>
          <w:rFonts w:ascii="Arial" w:eastAsia="Arial" w:hAnsi="Arial" w:cs="Arial"/>
          <w:b/>
        </w:rPr>
        <w:t>Paesi del gruppo 2 e 3</w:t>
      </w:r>
      <w:r>
        <w:rPr>
          <w:rFonts w:ascii="Arial" w:eastAsia="Arial" w:hAnsi="Arial" w:cs="Arial"/>
        </w:rPr>
        <w:t xml:space="preserve"> (costo della vita medio): Belgio, Croazia, Repubblica Ceca, Cipro, Germania, Grecia, Islanda, Lussemburgo, Paesi Bassi, Portogallo, Slovenia, Spagna, Turchia; (costo della vita basso): Bulgaria, Estonia, Ungheria, Lettonia, Lituania, Malta, Polonia, Romania, Slovacchia, ex Repubblica iugoslava di Macedonia: </w:t>
      </w:r>
      <w:r>
        <w:rPr>
          <w:rFonts w:ascii="Arial" w:eastAsia="Arial" w:hAnsi="Arial" w:cs="Arial"/>
          <w:b/>
        </w:rPr>
        <w:t>230 €/mese</w:t>
      </w:r>
      <w:r>
        <w:rPr>
          <w:rFonts w:ascii="Arial" w:eastAsia="Arial" w:hAnsi="Arial" w:cs="Arial"/>
        </w:rPr>
        <w:t>.</w:t>
      </w:r>
    </w:p>
    <w:p w:rsidR="004C1FA6" w:rsidRDefault="004C1FA6">
      <w:pPr>
        <w:pStyle w:val="Normale1"/>
        <w:ind w:left="644"/>
        <w:jc w:val="both"/>
      </w:pPr>
    </w:p>
    <w:p w:rsidR="004C1FA6" w:rsidRDefault="00CE022F">
      <w:pPr>
        <w:pStyle w:val="Normale1"/>
        <w:ind w:left="284"/>
        <w:jc w:val="both"/>
      </w:pPr>
      <w:r>
        <w:rPr>
          <w:rFonts w:ascii="Arial" w:eastAsia="Arial" w:hAnsi="Arial" w:cs="Arial"/>
          <w:u w:val="single"/>
        </w:rPr>
        <w:t>Il contributo effettivo verrà calcolato sul computo dei giorni di mobilità realmente fruiti attestati dalla certificazione di frequenza rilasciata dall’Ateneo ospitante</w:t>
      </w:r>
      <w:r>
        <w:rPr>
          <w:rFonts w:ascii="Arial" w:eastAsia="Arial" w:hAnsi="Arial" w:cs="Arial"/>
        </w:rPr>
        <w:t>.</w:t>
      </w:r>
    </w:p>
    <w:p w:rsidR="004C1FA6" w:rsidRDefault="00CE022F">
      <w:pPr>
        <w:pStyle w:val="Normale1"/>
        <w:ind w:left="284"/>
        <w:jc w:val="both"/>
      </w:pPr>
      <w:r>
        <w:rPr>
          <w:rFonts w:ascii="Arial" w:eastAsia="Arial" w:hAnsi="Arial" w:cs="Arial"/>
        </w:rPr>
        <w:t xml:space="preserve">La fruizione del contributo finanziario Erasmus è incompatibile con altre sovvenzioni comunitarie derivanti da altri programmi/azioni finanziati dall’Unione europea. </w:t>
      </w:r>
    </w:p>
    <w:p w:rsidR="004C1FA6" w:rsidRDefault="00CE022F">
      <w:pPr>
        <w:pStyle w:val="Normale1"/>
        <w:ind w:left="284"/>
        <w:jc w:val="both"/>
      </w:pPr>
      <w:r>
        <w:rPr>
          <w:rFonts w:ascii="Arial" w:eastAsia="Arial" w:hAnsi="Arial" w:cs="Arial"/>
        </w:rPr>
        <w:t>In caso di esaurimento dei fondi comunitari o di contemporanea assegnazione di altri finanziamenti di ateneo o comunitari e con disponibilità specifica dello studente, sarà possibile attribuire agli studenti vincitori lo status di “</w:t>
      </w:r>
      <w:proofErr w:type="spellStart"/>
      <w:r>
        <w:rPr>
          <w:rFonts w:ascii="Arial" w:eastAsia="Arial" w:hAnsi="Arial" w:cs="Arial"/>
        </w:rPr>
        <w:t>Erasmus</w:t>
      </w:r>
      <w:proofErr w:type="spellEnd"/>
      <w:r>
        <w:rPr>
          <w:rFonts w:ascii="Arial" w:eastAsia="Arial" w:hAnsi="Arial" w:cs="Arial"/>
        </w:rPr>
        <w:t xml:space="preserve"> </w:t>
      </w:r>
      <w:r>
        <w:rPr>
          <w:rFonts w:ascii="Arial" w:eastAsia="Arial" w:hAnsi="Arial" w:cs="Arial"/>
          <w:i/>
        </w:rPr>
        <w:t xml:space="preserve">zero </w:t>
      </w:r>
      <w:proofErr w:type="spellStart"/>
      <w:r>
        <w:rPr>
          <w:rFonts w:ascii="Arial" w:eastAsia="Arial" w:hAnsi="Arial" w:cs="Arial"/>
          <w:i/>
        </w:rPr>
        <w:t>eu-grant</w:t>
      </w:r>
      <w:proofErr w:type="spellEnd"/>
      <w:r>
        <w:rPr>
          <w:rFonts w:ascii="Arial" w:eastAsia="Arial" w:hAnsi="Arial" w:cs="Arial"/>
          <w:i/>
        </w:rPr>
        <w:t>”</w:t>
      </w:r>
      <w:r>
        <w:rPr>
          <w:rFonts w:ascii="Arial" w:eastAsia="Arial" w:hAnsi="Arial" w:cs="Arial"/>
        </w:rPr>
        <w:t xml:space="preserve"> che permette di fruire delle agevolazioni legate alla mobilità, senza percepire il contributo comunitario.</w:t>
      </w:r>
    </w:p>
    <w:p w:rsidR="004C1FA6" w:rsidRDefault="00CE022F">
      <w:pPr>
        <w:pStyle w:val="Normale1"/>
        <w:ind w:left="284"/>
        <w:jc w:val="both"/>
      </w:pPr>
      <w:r>
        <w:rPr>
          <w:rFonts w:ascii="Arial" w:eastAsia="Arial" w:hAnsi="Arial" w:cs="Arial"/>
        </w:rPr>
        <w:t>Si segnala che la fruizione del contributo comunitario Erasmus è comunque subordinata all’approvazione da parte dell’Agenzia Nazionale Erasmus+ Indire delle attività/finanziamenti Erasmus proposte dall’Ateneo per l’</w:t>
      </w:r>
      <w:proofErr w:type="spellStart"/>
      <w:r>
        <w:rPr>
          <w:rFonts w:ascii="Arial" w:eastAsia="Arial" w:hAnsi="Arial" w:cs="Arial"/>
        </w:rPr>
        <w:t>a.a.</w:t>
      </w:r>
      <w:proofErr w:type="spellEnd"/>
      <w:r>
        <w:rPr>
          <w:rFonts w:ascii="Arial" w:eastAsia="Arial" w:hAnsi="Arial" w:cs="Arial"/>
        </w:rPr>
        <w:t xml:space="preserve"> 2017/2018.</w:t>
      </w:r>
    </w:p>
    <w:p w:rsidR="004C1FA6" w:rsidRDefault="004C1FA6">
      <w:pPr>
        <w:pStyle w:val="Normale1"/>
        <w:ind w:left="284"/>
        <w:jc w:val="both"/>
      </w:pPr>
    </w:p>
    <w:p w:rsidR="004C1FA6" w:rsidRDefault="00CE022F">
      <w:pPr>
        <w:pStyle w:val="Normale1"/>
        <w:numPr>
          <w:ilvl w:val="0"/>
          <w:numId w:val="2"/>
        </w:numPr>
        <w:ind w:hanging="360"/>
        <w:jc w:val="both"/>
        <w:rPr>
          <w:rFonts w:ascii="Arial" w:eastAsia="Arial" w:hAnsi="Arial" w:cs="Arial"/>
        </w:rPr>
      </w:pPr>
      <w:r>
        <w:rPr>
          <w:rFonts w:ascii="Arial" w:eastAsia="Arial" w:hAnsi="Arial" w:cs="Arial"/>
          <w:b/>
        </w:rPr>
        <w:t>INTEGRAZIONI SAPIENZA E MIUR</w:t>
      </w:r>
    </w:p>
    <w:p w:rsidR="004C1FA6" w:rsidRDefault="004C1FA6">
      <w:pPr>
        <w:pStyle w:val="Normale1"/>
        <w:ind w:left="284"/>
        <w:jc w:val="both"/>
      </w:pPr>
    </w:p>
    <w:p w:rsidR="004C1FA6" w:rsidRDefault="00CE022F">
      <w:pPr>
        <w:pStyle w:val="Normale1"/>
        <w:ind w:left="284"/>
        <w:jc w:val="both"/>
      </w:pPr>
      <w:r>
        <w:rPr>
          <w:rFonts w:ascii="Arial" w:eastAsia="Arial" w:hAnsi="Arial" w:cs="Arial"/>
        </w:rPr>
        <w:t xml:space="preserve">Agli studenti risultati assegnatari sarà erogata un’integrazione economica, sulla base del </w:t>
      </w:r>
      <w:r>
        <w:rPr>
          <w:rFonts w:ascii="Arial" w:eastAsia="Arial" w:hAnsi="Arial" w:cs="Arial"/>
        </w:rPr>
        <w:lastRenderedPageBreak/>
        <w:t>co-finanziamento stabilito dall’Università degli Studi di Roma “La Sapienza”. Inolt</w:t>
      </w:r>
      <w:r w:rsidR="003717E2">
        <w:rPr>
          <w:rFonts w:ascii="Arial" w:eastAsia="Arial" w:hAnsi="Arial" w:cs="Arial"/>
        </w:rPr>
        <w:t xml:space="preserve">re, come indicato al </w:t>
      </w:r>
      <w:r w:rsidR="003717E2" w:rsidRPr="00D05844">
        <w:rPr>
          <w:rFonts w:ascii="Arial" w:eastAsia="Arial" w:hAnsi="Arial" w:cs="Arial"/>
        </w:rPr>
        <w:t>punto a), p</w:t>
      </w:r>
      <w:r w:rsidRPr="00D05844">
        <w:rPr>
          <w:rFonts w:ascii="Arial" w:eastAsia="Arial" w:hAnsi="Arial" w:cs="Arial"/>
        </w:rPr>
        <w:t>er gli</w:t>
      </w:r>
      <w:r>
        <w:rPr>
          <w:rFonts w:ascii="Arial" w:eastAsia="Arial" w:hAnsi="Arial" w:cs="Arial"/>
        </w:rPr>
        <w:t xml:space="preserve"> studenti che effettuano un periodo di studio all’estero e che </w:t>
      </w:r>
      <w:r>
        <w:rPr>
          <w:rFonts w:ascii="Arial" w:eastAsia="Arial" w:hAnsi="Arial" w:cs="Arial"/>
          <w:b/>
        </w:rPr>
        <w:t>NON ABBIANO SOSTENUTO ALCUN ESAME</w:t>
      </w:r>
      <w:r>
        <w:rPr>
          <w:rFonts w:ascii="Arial" w:eastAsia="Arial" w:hAnsi="Arial" w:cs="Arial"/>
        </w:rPr>
        <w:t xml:space="preserve"> (nel conteggio è escluso il corso base di lingua) e/o non attestino il lavoro di tesi o di ricerca di dottorato o di master, </w:t>
      </w:r>
      <w:r>
        <w:rPr>
          <w:rFonts w:ascii="Arial" w:eastAsia="Arial" w:hAnsi="Arial" w:cs="Arial"/>
          <w:b/>
        </w:rPr>
        <w:t>non sarà corrisposto il contributo MIUR.</w:t>
      </w:r>
    </w:p>
    <w:p w:rsidR="004C1FA6" w:rsidRDefault="00CE022F">
      <w:pPr>
        <w:pStyle w:val="Normale1"/>
        <w:ind w:left="284"/>
        <w:jc w:val="both"/>
      </w:pPr>
      <w:r>
        <w:rPr>
          <w:rFonts w:ascii="Arial" w:eastAsia="Arial" w:hAnsi="Arial" w:cs="Arial"/>
        </w:rPr>
        <w:t xml:space="preserve">Le informazioni in merito ai contributi erogati negli anni accademici precedenti sono disponibili sul sito nella sezione “contributi” alla pagina web: </w:t>
      </w:r>
      <w:hyperlink r:id="rId9">
        <w:r>
          <w:rPr>
            <w:rFonts w:ascii="Arial" w:eastAsia="Arial" w:hAnsi="Arial" w:cs="Arial"/>
            <w:u w:val="single"/>
          </w:rPr>
          <w:t>http://www.uniroma1.it/erasmus/studenti-students/contributi</w:t>
        </w:r>
      </w:hyperlink>
      <w:r>
        <w:rPr>
          <w:rFonts w:ascii="Arial" w:eastAsia="Arial" w:hAnsi="Arial" w:cs="Arial"/>
        </w:rPr>
        <w:t>.</w:t>
      </w:r>
    </w:p>
    <w:p w:rsidR="004C1FA6" w:rsidRDefault="004C1FA6">
      <w:pPr>
        <w:pStyle w:val="Normale1"/>
        <w:ind w:left="284"/>
        <w:jc w:val="both"/>
      </w:pPr>
    </w:p>
    <w:p w:rsidR="004C1FA6" w:rsidRDefault="00CE022F">
      <w:pPr>
        <w:pStyle w:val="Normale1"/>
        <w:numPr>
          <w:ilvl w:val="0"/>
          <w:numId w:val="2"/>
        </w:numPr>
        <w:ind w:hanging="360"/>
        <w:jc w:val="both"/>
        <w:rPr>
          <w:rFonts w:ascii="Arial" w:eastAsia="Arial" w:hAnsi="Arial" w:cs="Arial"/>
        </w:rPr>
      </w:pPr>
      <w:r>
        <w:rPr>
          <w:rFonts w:ascii="Arial" w:eastAsia="Arial" w:hAnsi="Arial" w:cs="Arial"/>
          <w:b/>
        </w:rPr>
        <w:t>INTEGRAZIONE PER STUDENTI DIVERSAMENTE ABILI</w:t>
      </w:r>
    </w:p>
    <w:p w:rsidR="004C1FA6" w:rsidRDefault="004C1FA6">
      <w:pPr>
        <w:pStyle w:val="Normale1"/>
        <w:ind w:left="284"/>
      </w:pPr>
    </w:p>
    <w:p w:rsidR="004C1FA6" w:rsidRDefault="00CE022F">
      <w:pPr>
        <w:pStyle w:val="Normale1"/>
        <w:ind w:left="284"/>
        <w:jc w:val="both"/>
      </w:pPr>
      <w:r>
        <w:rPr>
          <w:rFonts w:ascii="Arial" w:eastAsia="Arial" w:hAnsi="Arial" w:cs="Arial"/>
        </w:rPr>
        <w:t xml:space="preserve">Al fine di consentire una più ampia partecipazione alla mobilità da parte degli studenti, l’Agenzia Nazionale Indire Erasmus+, eroga dei fondi destinati ai fabbisogni speciali nei confronti degli studenti diversamente abili. </w:t>
      </w:r>
    </w:p>
    <w:p w:rsidR="004C1FA6" w:rsidRDefault="00CE022F">
      <w:pPr>
        <w:pStyle w:val="Normale1"/>
        <w:ind w:left="284"/>
        <w:jc w:val="both"/>
      </w:pPr>
      <w:r>
        <w:rPr>
          <w:rFonts w:ascii="Arial" w:eastAsia="Arial" w:hAnsi="Arial" w:cs="Arial"/>
        </w:rPr>
        <w:t xml:space="preserve">Gli studenti dovranno comunicare la loro situazione di disabilità, sia in fase di candidatura sia in fase di accettazione qualora assegnatari di mobilità.  </w:t>
      </w:r>
    </w:p>
    <w:p w:rsidR="004C1FA6" w:rsidRDefault="00CE022F">
      <w:pPr>
        <w:pStyle w:val="Normale1"/>
        <w:ind w:left="284"/>
        <w:jc w:val="both"/>
      </w:pPr>
      <w:r>
        <w:rPr>
          <w:rFonts w:ascii="Arial" w:eastAsia="Arial" w:hAnsi="Arial" w:cs="Arial"/>
        </w:rPr>
        <w:t xml:space="preserve">I suddetti studenti assegnatari riceveranno informazioni circa l’eventuale finanziamento comunitario in corso d’anno attraverso una specifica nota informativa che verrà pubblicata alla pagina web: </w:t>
      </w:r>
      <w:hyperlink r:id="rId10">
        <w:r>
          <w:rPr>
            <w:rFonts w:ascii="Arial" w:eastAsia="Arial" w:hAnsi="Arial" w:cs="Arial"/>
            <w:u w:val="single"/>
          </w:rPr>
          <w:t>http://www.uniroma1.it/erasmus/studenti-students/erasmus-studenti-diversamente-abili</w:t>
        </w:r>
      </w:hyperlink>
      <w:r>
        <w:rPr>
          <w:rFonts w:ascii="Arial" w:eastAsia="Arial" w:hAnsi="Arial" w:cs="Arial"/>
        </w:rPr>
        <w:t>.</w:t>
      </w:r>
    </w:p>
    <w:p w:rsidR="004C1FA6" w:rsidRDefault="004C1FA6">
      <w:pPr>
        <w:pStyle w:val="Normale1"/>
        <w:ind w:left="284"/>
        <w:jc w:val="both"/>
      </w:pPr>
    </w:p>
    <w:p w:rsidR="004C1FA6" w:rsidRDefault="00CE022F">
      <w:pPr>
        <w:pStyle w:val="Normale1"/>
        <w:numPr>
          <w:ilvl w:val="0"/>
          <w:numId w:val="2"/>
        </w:numPr>
        <w:ind w:hanging="360"/>
        <w:jc w:val="both"/>
        <w:rPr>
          <w:rFonts w:ascii="Arial" w:eastAsia="Arial" w:hAnsi="Arial" w:cs="Arial"/>
        </w:rPr>
      </w:pPr>
      <w:r>
        <w:rPr>
          <w:rFonts w:ascii="Arial" w:eastAsia="Arial" w:hAnsi="Arial" w:cs="Arial"/>
          <w:b/>
        </w:rPr>
        <w:t>INTEGRAZIONE PER STUDENTI IN CONDIZIONI ECONOMICHE DISAGIATE</w:t>
      </w:r>
    </w:p>
    <w:p w:rsidR="004C1FA6" w:rsidRDefault="004C1FA6">
      <w:pPr>
        <w:pStyle w:val="Normale1"/>
        <w:jc w:val="both"/>
      </w:pPr>
    </w:p>
    <w:p w:rsidR="004C1FA6" w:rsidRDefault="00CE022F">
      <w:pPr>
        <w:pStyle w:val="Normale1"/>
        <w:ind w:left="284"/>
        <w:jc w:val="both"/>
      </w:pPr>
      <w:r>
        <w:rPr>
          <w:rFonts w:ascii="Arial" w:eastAsia="Arial" w:hAnsi="Arial" w:cs="Arial"/>
        </w:rPr>
        <w:t>Gli studenti in particolari condizioni economiche, sulla base dell’ISEE, possono essere beneficiari del contributo per studenti in condizioni economiche disagiate, sostenuto con il contributo europeo dedicato ed integrato con i fondi di Sapienza e MIUR.</w:t>
      </w:r>
    </w:p>
    <w:p w:rsidR="004C1FA6" w:rsidRDefault="00CE022F">
      <w:pPr>
        <w:pStyle w:val="Normale1"/>
        <w:ind w:left="284"/>
        <w:jc w:val="both"/>
      </w:pPr>
      <w:r>
        <w:rPr>
          <w:rFonts w:ascii="Arial" w:eastAsia="Arial" w:hAnsi="Arial" w:cs="Arial"/>
        </w:rPr>
        <w:t>Gli studenti, per la candidatura a tale contributo, dovranno rivolgersi presso il proprio sostituto d’imposta (se presta assistenza fiscale), CAF, tramite il sito INPS (</w:t>
      </w:r>
      <w:hyperlink r:id="rId11">
        <w:r>
          <w:rPr>
            <w:rFonts w:ascii="Arial" w:eastAsia="Arial" w:hAnsi="Arial" w:cs="Arial"/>
            <w:u w:val="single"/>
          </w:rPr>
          <w:t>http://servizi2.inps.it/servizi/Iseeriforma/home.aspx</w:t>
        </w:r>
      </w:hyperlink>
      <w:r>
        <w:rPr>
          <w:rFonts w:ascii="Arial" w:eastAsia="Arial" w:hAnsi="Arial" w:cs="Arial"/>
        </w:rPr>
        <w:t xml:space="preserve">) o altro soggetto abilitato (commercialista, consulente del lavoro, </w:t>
      </w:r>
      <w:proofErr w:type="spellStart"/>
      <w:r>
        <w:rPr>
          <w:rFonts w:ascii="Arial" w:eastAsia="Arial" w:hAnsi="Arial" w:cs="Arial"/>
        </w:rPr>
        <w:t>etc</w:t>
      </w:r>
      <w:proofErr w:type="spellEnd"/>
      <w:r>
        <w:rPr>
          <w:rFonts w:ascii="Arial" w:eastAsia="Arial" w:hAnsi="Arial" w:cs="Arial"/>
        </w:rPr>
        <w:t xml:space="preserve">), per richiedere il calcolo dell’ISEE 2017 per il diritto allo studio universitario. I dati relativi all’ISEE saranno controllati dall’Università sulla piattaforma INPS dedicata, e qualora non risulti alcun valore ISEE 2017 per il diritto allo studio universitario </w:t>
      </w:r>
    </w:p>
    <w:p w:rsidR="004C1FA6" w:rsidRDefault="003717E2">
      <w:pPr>
        <w:pStyle w:val="Normale1"/>
        <w:ind w:left="284"/>
        <w:jc w:val="both"/>
      </w:pPr>
      <w:r>
        <w:rPr>
          <w:rFonts w:ascii="Arial" w:eastAsia="Arial" w:hAnsi="Arial" w:cs="Arial"/>
        </w:rPr>
        <w:t>A</w:t>
      </w:r>
      <w:r w:rsidR="00CE022F">
        <w:rPr>
          <w:rFonts w:ascii="Arial" w:eastAsia="Arial" w:hAnsi="Arial" w:cs="Arial"/>
        </w:rPr>
        <w:t>ssociato</w:t>
      </w:r>
      <w:r>
        <w:rPr>
          <w:rFonts w:ascii="Arial" w:eastAsia="Arial" w:hAnsi="Arial" w:cs="Arial"/>
        </w:rPr>
        <w:t xml:space="preserve"> </w:t>
      </w:r>
      <w:r w:rsidR="00CE022F">
        <w:rPr>
          <w:rFonts w:ascii="Arial" w:eastAsia="Arial" w:hAnsi="Arial" w:cs="Arial"/>
        </w:rPr>
        <w:t xml:space="preserve">allo studente, il predetto non verrà considerato ai fini della graduatoria dell’attribuzione del contributo. Informazioni specifiche saranno fornite in corso d’anno attraverso una specifica nota informativa che verrà pubblicata alla pagina web: </w:t>
      </w:r>
      <w:r w:rsidR="00CE022F">
        <w:rPr>
          <w:rFonts w:ascii="Arial" w:eastAsia="Arial" w:hAnsi="Arial" w:cs="Arial"/>
          <w:u w:val="single"/>
        </w:rPr>
        <w:t>http://www.uniroma1.it/erasmus/studenti-students/contributi</w:t>
      </w:r>
      <w:r w:rsidR="00CE022F">
        <w:rPr>
          <w:rFonts w:ascii="Arial" w:eastAsia="Arial" w:hAnsi="Arial" w:cs="Arial"/>
        </w:rPr>
        <w:t>.</w:t>
      </w:r>
    </w:p>
    <w:p w:rsidR="004C1FA6" w:rsidRDefault="004C1FA6">
      <w:pPr>
        <w:pStyle w:val="Normale1"/>
        <w:ind w:left="284"/>
        <w:jc w:val="both"/>
      </w:pPr>
    </w:p>
    <w:p w:rsidR="004C1FA6" w:rsidRDefault="004C1FA6">
      <w:pPr>
        <w:pStyle w:val="Normale1"/>
        <w:ind w:left="284"/>
        <w:jc w:val="both"/>
      </w:pPr>
    </w:p>
    <w:p w:rsidR="004C1FA6" w:rsidRDefault="00CE022F">
      <w:pPr>
        <w:pStyle w:val="Normale1"/>
        <w:ind w:left="284"/>
        <w:jc w:val="both"/>
      </w:pPr>
      <w:r>
        <w:rPr>
          <w:rFonts w:ascii="Arial" w:eastAsia="Arial" w:hAnsi="Arial" w:cs="Arial"/>
          <w:b/>
        </w:rPr>
        <w:t>e)</w:t>
      </w:r>
      <w:r>
        <w:rPr>
          <w:rFonts w:ascii="Arial" w:eastAsia="Arial" w:hAnsi="Arial" w:cs="Arial"/>
        </w:rPr>
        <w:t xml:space="preserve">    </w:t>
      </w:r>
      <w:r>
        <w:rPr>
          <w:rFonts w:ascii="Arial" w:eastAsia="Arial" w:hAnsi="Arial" w:cs="Arial"/>
          <w:b/>
        </w:rPr>
        <w:t xml:space="preserve">TRATTAMENTO FISCALE </w:t>
      </w:r>
    </w:p>
    <w:p w:rsidR="004C1FA6" w:rsidRDefault="004C1FA6">
      <w:pPr>
        <w:pStyle w:val="Normale1"/>
        <w:ind w:left="644"/>
        <w:jc w:val="both"/>
      </w:pPr>
    </w:p>
    <w:p w:rsidR="004C1FA6" w:rsidRDefault="00CE022F">
      <w:pPr>
        <w:pStyle w:val="Normale1"/>
        <w:ind w:left="284"/>
        <w:jc w:val="both"/>
      </w:pPr>
      <w:r>
        <w:rPr>
          <w:rFonts w:ascii="Arial" w:eastAsia="Arial" w:hAnsi="Arial" w:cs="Arial"/>
        </w:rPr>
        <w:t xml:space="preserve">Per informazioni sugli eventuali oneri fiscali o esenzione relativi ai contributi erogati di cui sopra, occorre rivolgersi al proprio sostituto d’imposta (se presta assistenza fiscale), CAF o altro soggetto abilitato (commercialista, consulente del lavoro, </w:t>
      </w:r>
      <w:proofErr w:type="spellStart"/>
      <w:r>
        <w:rPr>
          <w:rFonts w:ascii="Arial" w:eastAsia="Arial" w:hAnsi="Arial" w:cs="Arial"/>
        </w:rPr>
        <w:t>etc</w:t>
      </w:r>
      <w:proofErr w:type="spellEnd"/>
      <w:r>
        <w:rPr>
          <w:rFonts w:ascii="Arial" w:eastAsia="Arial" w:hAnsi="Arial" w:cs="Arial"/>
        </w:rPr>
        <w:t>).</w:t>
      </w:r>
    </w:p>
    <w:p w:rsidR="004C1FA6" w:rsidRDefault="00CE022F">
      <w:pPr>
        <w:pStyle w:val="Normale1"/>
        <w:spacing w:before="100" w:after="100"/>
        <w:ind w:left="284"/>
        <w:jc w:val="both"/>
      </w:pPr>
      <w:r>
        <w:rPr>
          <w:rFonts w:ascii="Arial" w:eastAsia="Arial" w:hAnsi="Arial" w:cs="Arial"/>
          <w:b/>
        </w:rPr>
        <w:lastRenderedPageBreak/>
        <w:t>3. ELENCO MOBILITA’ DISPONIBILI</w:t>
      </w:r>
    </w:p>
    <w:p w:rsidR="004C1FA6" w:rsidRDefault="00CE022F">
      <w:pPr>
        <w:pStyle w:val="Normale1"/>
        <w:ind w:left="284"/>
        <w:jc w:val="both"/>
      </w:pPr>
      <w:r>
        <w:rPr>
          <w:rFonts w:ascii="Arial" w:eastAsia="Arial" w:hAnsi="Arial" w:cs="Arial"/>
        </w:rPr>
        <w:t xml:space="preserve">La disponibilità delle sedi di destinazione e dei posti previsti, potrebbe subire modifiche dipendenti dalle possibili variazioni decise dagli Organismi Comunitari o Nazionali che regolano il Programma o dalle Università partner. Pertanto, questo avviso di pubblicazione ha carattere non vincolante. Si raccomanda agli studenti, prima di presentare domanda, di informarsi autonomamente sulle possibilità di studio presso le sedi estere verificando l'offerta didattica. </w:t>
      </w:r>
    </w:p>
    <w:p w:rsidR="004C1FA6" w:rsidRDefault="00CE022F">
      <w:pPr>
        <w:pStyle w:val="Normale1"/>
        <w:ind w:left="284"/>
        <w:jc w:val="both"/>
      </w:pPr>
      <w:r>
        <w:rPr>
          <w:rFonts w:ascii="Arial" w:eastAsia="Arial" w:hAnsi="Arial" w:cs="Arial"/>
        </w:rPr>
        <w:t>La durata della mobilità per le sedi a bando potrebbe subire riduzioni qualora il calendario didattico dovesse risultare di periodo inferiore.</w:t>
      </w:r>
    </w:p>
    <w:p w:rsidR="004C1FA6" w:rsidRDefault="00CE022F">
      <w:pPr>
        <w:pStyle w:val="Normale1"/>
        <w:ind w:left="284"/>
        <w:jc w:val="both"/>
      </w:pPr>
      <w:r>
        <w:rPr>
          <w:rFonts w:ascii="Arial" w:eastAsia="Arial" w:hAnsi="Arial" w:cs="Arial"/>
        </w:rPr>
        <w:t xml:space="preserve">Inoltre, per gli studenti che hanno già fruito di mobilità precedenti, la riduzione del periodo verrà rapportata alle mensilità ammissibili con il limite massimo dei 12 mesi per ciclo di studi e 24 mesi per le lauree di ciclo unico, previa autorizzazione della sede di destinazione. </w:t>
      </w:r>
    </w:p>
    <w:p w:rsidR="004C1FA6" w:rsidRDefault="004C1FA6">
      <w:pPr>
        <w:pStyle w:val="Normale1"/>
        <w:ind w:left="284"/>
        <w:jc w:val="both"/>
      </w:pPr>
    </w:p>
    <w:p w:rsidR="004C1FA6" w:rsidRDefault="00CE022F">
      <w:pPr>
        <w:pStyle w:val="Normale1"/>
        <w:ind w:left="284"/>
        <w:jc w:val="both"/>
      </w:pPr>
      <w:r>
        <w:rPr>
          <w:rFonts w:ascii="Arial" w:eastAsia="Arial" w:hAnsi="Arial" w:cs="Arial"/>
          <w:b/>
        </w:rPr>
        <w:t>Si fa presente che non è possibile garantire la partenza nel I semestre per le sedi la cui dead-line è prossima alla data indicata all’art. 12 Termine del Procedimento del presente bando.</w:t>
      </w:r>
    </w:p>
    <w:p w:rsidR="004C1FA6" w:rsidRDefault="00CE022F">
      <w:pPr>
        <w:pStyle w:val="Normale1"/>
        <w:spacing w:before="100" w:after="100"/>
        <w:jc w:val="both"/>
      </w:pPr>
      <w:r>
        <w:rPr>
          <w:rFonts w:ascii="Arial" w:eastAsia="Arial" w:hAnsi="Arial" w:cs="Arial"/>
        </w:rPr>
        <w:t xml:space="preserve">Livelli di mobilità: </w:t>
      </w:r>
    </w:p>
    <w:p w:rsidR="004C1FA6" w:rsidRDefault="00CE022F">
      <w:pPr>
        <w:pStyle w:val="Normale1"/>
        <w:spacing w:before="100" w:after="100"/>
        <w:jc w:val="both"/>
      </w:pPr>
      <w:r>
        <w:rPr>
          <w:rFonts w:ascii="Arial" w:eastAsia="Arial" w:hAnsi="Arial" w:cs="Arial"/>
          <w:i/>
        </w:rPr>
        <w:t xml:space="preserve">1 = </w:t>
      </w:r>
      <w:proofErr w:type="spellStart"/>
      <w:r>
        <w:rPr>
          <w:rFonts w:ascii="Arial" w:eastAsia="Arial" w:hAnsi="Arial" w:cs="Arial"/>
          <w:i/>
        </w:rPr>
        <w:t>Undergraduate</w:t>
      </w:r>
      <w:proofErr w:type="spellEnd"/>
      <w:r>
        <w:rPr>
          <w:rFonts w:ascii="Arial" w:eastAsia="Arial" w:hAnsi="Arial" w:cs="Arial"/>
          <w:i/>
        </w:rPr>
        <w:t xml:space="preserve"> (Laurea)   2= </w:t>
      </w:r>
      <w:proofErr w:type="spellStart"/>
      <w:r>
        <w:rPr>
          <w:rFonts w:ascii="Arial" w:eastAsia="Arial" w:hAnsi="Arial" w:cs="Arial"/>
          <w:i/>
        </w:rPr>
        <w:t>Postgraduate</w:t>
      </w:r>
      <w:proofErr w:type="spellEnd"/>
      <w:r>
        <w:rPr>
          <w:rFonts w:ascii="Arial" w:eastAsia="Arial" w:hAnsi="Arial" w:cs="Arial"/>
          <w:i/>
        </w:rPr>
        <w:t xml:space="preserve"> (Laurea magistrale, Ciclo Unico)     3 = </w:t>
      </w:r>
      <w:proofErr w:type="spellStart"/>
      <w:r>
        <w:rPr>
          <w:rFonts w:ascii="Arial" w:eastAsia="Arial" w:hAnsi="Arial" w:cs="Arial"/>
          <w:i/>
        </w:rPr>
        <w:t>Doctoral</w:t>
      </w:r>
      <w:proofErr w:type="spellEnd"/>
      <w:r>
        <w:rPr>
          <w:rFonts w:ascii="Arial" w:eastAsia="Arial" w:hAnsi="Arial" w:cs="Arial"/>
          <w:i/>
        </w:rPr>
        <w:t xml:space="preserve"> (Scuola di Specializzazione o Dottorato di ricerca)</w:t>
      </w:r>
    </w:p>
    <w:p w:rsidR="004C1FA6" w:rsidRDefault="00CE022F">
      <w:pPr>
        <w:pStyle w:val="Normale1"/>
        <w:spacing w:before="100" w:after="100"/>
        <w:ind w:left="284"/>
        <w:jc w:val="both"/>
      </w:pPr>
      <w:r>
        <w:rPr>
          <w:rFonts w:ascii="Arial" w:eastAsia="Arial" w:hAnsi="Arial" w:cs="Arial"/>
          <w:b/>
          <w:i/>
          <w:u w:val="single"/>
        </w:rPr>
        <w:t>Nella scelta delle mobilità si prega di fare attenzione al livello di lingua richiesto per la frequenza ai corsi prescelti della sede ospitante. I requisiti presenti in tabella sono stati indicati dalle singole Università partner. Gli studenti interessati sono comunque invitati ad approfondire personalmente la corrispondenza reale di tali requisiti rispetto alle sedi richieste.</w:t>
      </w:r>
    </w:p>
    <w:p w:rsidR="004C1FA6" w:rsidRDefault="00CE022F">
      <w:pPr>
        <w:pStyle w:val="Normale1"/>
        <w:ind w:left="284"/>
        <w:jc w:val="both"/>
      </w:pPr>
      <w:r>
        <w:rPr>
          <w:rFonts w:ascii="Arial" w:eastAsia="Arial" w:hAnsi="Arial" w:cs="Arial"/>
        </w:rPr>
        <w:t>Tra le sedi sottoelencate,</w:t>
      </w:r>
      <w:r>
        <w:rPr>
          <w:rFonts w:ascii="Arial" w:eastAsia="Arial" w:hAnsi="Arial" w:cs="Arial"/>
          <w:b/>
        </w:rPr>
        <w:t xml:space="preserve"> lo studente potrà selezionare  un massimo 3 destinazioni</w:t>
      </w:r>
    </w:p>
    <w:p w:rsidR="00667606" w:rsidRDefault="00CE022F" w:rsidP="00667606">
      <w:pPr>
        <w:pStyle w:val="Normale1"/>
        <w:ind w:left="284"/>
        <w:jc w:val="both"/>
        <w:rPr>
          <w:rFonts w:ascii="Arial" w:eastAsia="Arial" w:hAnsi="Arial" w:cs="Arial"/>
          <w:b/>
        </w:rPr>
      </w:pPr>
      <w:r>
        <w:rPr>
          <w:rFonts w:ascii="Arial" w:eastAsia="Arial" w:hAnsi="Arial" w:cs="Arial"/>
          <w:b/>
        </w:rPr>
        <w:t>motivando adeguatamente le scelte.</w:t>
      </w: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rPr>
          <w:rFonts w:ascii="Arial" w:eastAsia="Arial" w:hAnsi="Arial" w:cs="Arial"/>
          <w:b/>
        </w:rPr>
      </w:pPr>
    </w:p>
    <w:p w:rsidR="00667606" w:rsidRDefault="00667606" w:rsidP="00667606">
      <w:pPr>
        <w:pStyle w:val="Normale1"/>
        <w:ind w:left="284"/>
        <w:jc w:val="both"/>
      </w:pPr>
    </w:p>
    <w:p w:rsidR="004C1FA6" w:rsidRDefault="004C1FA6" w:rsidP="00667606">
      <w:pPr>
        <w:pStyle w:val="Normale1"/>
        <w:jc w:val="both"/>
      </w:pPr>
    </w:p>
    <w:tbl>
      <w:tblPr>
        <w:tblStyle w:val="a"/>
        <w:tblW w:w="10840" w:type="dxa"/>
        <w:tblInd w:w="-1608" w:type="dxa"/>
        <w:tblLayout w:type="fixed"/>
        <w:tblLook w:val="0000"/>
      </w:tblPr>
      <w:tblGrid>
        <w:gridCol w:w="615"/>
        <w:gridCol w:w="1277"/>
        <w:gridCol w:w="1276"/>
        <w:gridCol w:w="947"/>
        <w:gridCol w:w="947"/>
        <w:gridCol w:w="657"/>
        <w:gridCol w:w="851"/>
        <w:gridCol w:w="891"/>
        <w:gridCol w:w="668"/>
        <w:gridCol w:w="727"/>
        <w:gridCol w:w="709"/>
        <w:gridCol w:w="1275"/>
      </w:tblGrid>
      <w:tr w:rsidR="004C1FA6">
        <w:trPr>
          <w:trHeight w:val="240"/>
        </w:trPr>
        <w:tc>
          <w:tcPr>
            <w:tcW w:w="615" w:type="dxa"/>
            <w:vMerge w:val="restart"/>
            <w:tcBorders>
              <w:top w:val="single" w:sz="4" w:space="0" w:color="000000"/>
              <w:left w:val="single" w:sz="4" w:space="0" w:color="000000"/>
              <w:bottom w:val="single" w:sz="4" w:space="0" w:color="000000"/>
              <w:right w:val="single" w:sz="4" w:space="0" w:color="000000"/>
            </w:tcBorders>
            <w:vAlign w:val="center"/>
          </w:tcPr>
          <w:p w:rsidR="004C1FA6" w:rsidRDefault="00CE022F">
            <w:pPr>
              <w:pStyle w:val="Normale1"/>
              <w:jc w:val="center"/>
            </w:pPr>
            <w:r>
              <w:rPr>
                <w:b/>
                <w:sz w:val="16"/>
                <w:szCs w:val="16"/>
              </w:rPr>
              <w:t>ISO</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4C1FA6" w:rsidRDefault="00CE022F">
            <w:pPr>
              <w:pStyle w:val="Normale1"/>
              <w:jc w:val="center"/>
            </w:pPr>
            <w:r>
              <w:rPr>
                <w:b/>
                <w:sz w:val="16"/>
                <w:szCs w:val="16"/>
              </w:rPr>
              <w:t xml:space="preserve">Codice </w:t>
            </w:r>
            <w:proofErr w:type="spellStart"/>
            <w:r>
              <w:rPr>
                <w:b/>
                <w:sz w:val="16"/>
                <w:szCs w:val="16"/>
              </w:rPr>
              <w:t>ist</w:t>
            </w:r>
            <w:proofErr w:type="spellEnd"/>
            <w:r>
              <w:rPr>
                <w:b/>
                <w:sz w:val="16"/>
                <w:szCs w:val="16"/>
              </w:rPr>
              <w:t>.</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4C1FA6" w:rsidRDefault="00CE022F">
            <w:pPr>
              <w:pStyle w:val="Normale1"/>
              <w:jc w:val="center"/>
            </w:pPr>
            <w:r>
              <w:rPr>
                <w:b/>
                <w:sz w:val="16"/>
                <w:szCs w:val="16"/>
              </w:rPr>
              <w:t>Nome istituzione</w:t>
            </w:r>
          </w:p>
        </w:tc>
        <w:tc>
          <w:tcPr>
            <w:tcW w:w="947" w:type="dxa"/>
            <w:tcBorders>
              <w:top w:val="single" w:sz="4" w:space="0" w:color="000000"/>
              <w:left w:val="nil"/>
              <w:bottom w:val="nil"/>
              <w:right w:val="single" w:sz="4" w:space="0" w:color="000000"/>
            </w:tcBorders>
            <w:vAlign w:val="center"/>
          </w:tcPr>
          <w:p w:rsidR="004C1FA6" w:rsidRDefault="00CE022F">
            <w:pPr>
              <w:pStyle w:val="Normale1"/>
              <w:jc w:val="center"/>
            </w:pPr>
            <w:r>
              <w:rPr>
                <w:b/>
                <w:sz w:val="16"/>
                <w:szCs w:val="16"/>
              </w:rPr>
              <w:t>Cognome</w:t>
            </w: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4C1FA6" w:rsidRDefault="00CE022F">
            <w:pPr>
              <w:pStyle w:val="Normale1"/>
              <w:jc w:val="center"/>
            </w:pPr>
            <w:r>
              <w:rPr>
                <w:b/>
                <w:sz w:val="16"/>
                <w:szCs w:val="16"/>
              </w:rPr>
              <w:t>Nome docente</w:t>
            </w:r>
          </w:p>
        </w:tc>
        <w:tc>
          <w:tcPr>
            <w:tcW w:w="657" w:type="dxa"/>
            <w:vMerge w:val="restart"/>
            <w:tcBorders>
              <w:top w:val="single" w:sz="4" w:space="0" w:color="000000"/>
              <w:left w:val="single" w:sz="4" w:space="0" w:color="000000"/>
              <w:bottom w:val="single" w:sz="4" w:space="0" w:color="000000"/>
              <w:right w:val="single" w:sz="4" w:space="0" w:color="000000"/>
            </w:tcBorders>
            <w:vAlign w:val="center"/>
          </w:tcPr>
          <w:p w:rsidR="004C1FA6" w:rsidRDefault="00CE022F">
            <w:pPr>
              <w:pStyle w:val="Normale1"/>
              <w:jc w:val="center"/>
            </w:pPr>
            <w:r>
              <w:rPr>
                <w:b/>
                <w:sz w:val="16"/>
                <w:szCs w:val="16"/>
              </w:rPr>
              <w:t>Codice area</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4C1FA6" w:rsidRDefault="00CE022F">
            <w:pPr>
              <w:pStyle w:val="Normale1"/>
              <w:jc w:val="center"/>
            </w:pPr>
            <w:r>
              <w:rPr>
                <w:b/>
                <w:sz w:val="16"/>
                <w:szCs w:val="16"/>
              </w:rPr>
              <w:t>Nome area</w:t>
            </w:r>
          </w:p>
        </w:tc>
        <w:tc>
          <w:tcPr>
            <w:tcW w:w="891" w:type="dxa"/>
            <w:vMerge w:val="restart"/>
            <w:tcBorders>
              <w:top w:val="single" w:sz="4" w:space="0" w:color="000000"/>
              <w:left w:val="single" w:sz="4" w:space="0" w:color="000000"/>
              <w:bottom w:val="single" w:sz="4" w:space="0" w:color="000000"/>
              <w:right w:val="single" w:sz="4" w:space="0" w:color="000000"/>
            </w:tcBorders>
            <w:vAlign w:val="center"/>
          </w:tcPr>
          <w:p w:rsidR="004C1FA6" w:rsidRDefault="00CE022F">
            <w:pPr>
              <w:pStyle w:val="Normale1"/>
              <w:jc w:val="center"/>
            </w:pPr>
            <w:r>
              <w:rPr>
                <w:b/>
                <w:sz w:val="16"/>
                <w:szCs w:val="16"/>
              </w:rPr>
              <w:t>Nazione</w:t>
            </w:r>
          </w:p>
        </w:tc>
        <w:tc>
          <w:tcPr>
            <w:tcW w:w="668" w:type="dxa"/>
            <w:vMerge w:val="restart"/>
            <w:tcBorders>
              <w:top w:val="single" w:sz="4" w:space="0" w:color="000000"/>
              <w:left w:val="single" w:sz="4" w:space="0" w:color="000000"/>
              <w:bottom w:val="single" w:sz="4" w:space="0" w:color="000000"/>
              <w:right w:val="single" w:sz="4" w:space="0" w:color="000000"/>
            </w:tcBorders>
            <w:vAlign w:val="center"/>
          </w:tcPr>
          <w:p w:rsidR="004C1FA6" w:rsidRDefault="00CE022F">
            <w:pPr>
              <w:pStyle w:val="Normale1"/>
              <w:jc w:val="center"/>
            </w:pPr>
            <w:r>
              <w:rPr>
                <w:b/>
                <w:sz w:val="16"/>
                <w:szCs w:val="16"/>
              </w:rPr>
              <w:t>Posti Disponibili</w:t>
            </w:r>
          </w:p>
        </w:tc>
        <w:tc>
          <w:tcPr>
            <w:tcW w:w="727" w:type="dxa"/>
            <w:vMerge w:val="restart"/>
            <w:tcBorders>
              <w:top w:val="single" w:sz="4" w:space="0" w:color="000000"/>
              <w:left w:val="single" w:sz="4" w:space="0" w:color="000000"/>
              <w:bottom w:val="single" w:sz="4" w:space="0" w:color="000000"/>
              <w:right w:val="single" w:sz="4" w:space="0" w:color="000000"/>
            </w:tcBorders>
            <w:vAlign w:val="center"/>
          </w:tcPr>
          <w:p w:rsidR="004C1FA6" w:rsidRDefault="00CE022F">
            <w:pPr>
              <w:pStyle w:val="Normale1"/>
              <w:jc w:val="center"/>
            </w:pPr>
            <w:r>
              <w:rPr>
                <w:b/>
                <w:sz w:val="16"/>
                <w:szCs w:val="16"/>
              </w:rPr>
              <w:t>Durata out</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C1FA6" w:rsidRDefault="00CE022F">
            <w:pPr>
              <w:pStyle w:val="Normale1"/>
              <w:jc w:val="center"/>
            </w:pPr>
            <w:r>
              <w:rPr>
                <w:b/>
                <w:sz w:val="16"/>
                <w:szCs w:val="16"/>
              </w:rPr>
              <w:t>Livello</w:t>
            </w:r>
          </w:p>
        </w:tc>
        <w:tc>
          <w:tcPr>
            <w:tcW w:w="1275" w:type="dxa"/>
            <w:tcBorders>
              <w:top w:val="single" w:sz="4" w:space="0" w:color="000000"/>
              <w:left w:val="nil"/>
              <w:bottom w:val="nil"/>
              <w:right w:val="single" w:sz="4" w:space="0" w:color="000000"/>
            </w:tcBorders>
            <w:vAlign w:val="center"/>
          </w:tcPr>
          <w:p w:rsidR="004C1FA6" w:rsidRDefault="00CE022F">
            <w:pPr>
              <w:pStyle w:val="Normale1"/>
              <w:jc w:val="center"/>
            </w:pPr>
            <w:r>
              <w:rPr>
                <w:b/>
                <w:sz w:val="16"/>
                <w:szCs w:val="16"/>
              </w:rPr>
              <w:t>Requisiti richiesti Università straniera*</w:t>
            </w:r>
          </w:p>
        </w:tc>
      </w:tr>
      <w:tr w:rsidR="004C1FA6">
        <w:trPr>
          <w:trHeight w:val="240"/>
        </w:trPr>
        <w:tc>
          <w:tcPr>
            <w:tcW w:w="615"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1277"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jc w:val="center"/>
            </w:pPr>
          </w:p>
          <w:p w:rsidR="004C1FA6" w:rsidRDefault="004C1FA6">
            <w:pPr>
              <w:pStyle w:val="Normale1"/>
              <w:jc w:val="center"/>
            </w:pPr>
          </w:p>
          <w:p w:rsidR="004C1FA6" w:rsidRDefault="004C1FA6">
            <w:pPr>
              <w:pStyle w:val="Normale1"/>
              <w:jc w:val="center"/>
            </w:pPr>
          </w:p>
        </w:tc>
        <w:tc>
          <w:tcPr>
            <w:tcW w:w="947" w:type="dxa"/>
            <w:tcBorders>
              <w:top w:val="nil"/>
              <w:left w:val="nil"/>
              <w:bottom w:val="nil"/>
              <w:right w:val="single" w:sz="4" w:space="0" w:color="000000"/>
            </w:tcBorders>
            <w:vAlign w:val="center"/>
          </w:tcPr>
          <w:p w:rsidR="004C1FA6" w:rsidRDefault="00CE022F">
            <w:pPr>
              <w:pStyle w:val="Normale1"/>
              <w:jc w:val="center"/>
            </w:pPr>
            <w:r>
              <w:rPr>
                <w:b/>
                <w:sz w:val="16"/>
                <w:szCs w:val="16"/>
              </w:rPr>
              <w:t>docente</w:t>
            </w:r>
          </w:p>
        </w:tc>
        <w:tc>
          <w:tcPr>
            <w:tcW w:w="947"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657"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891"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668"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jc w:val="center"/>
            </w:pPr>
          </w:p>
          <w:p w:rsidR="004C1FA6" w:rsidRDefault="004C1FA6">
            <w:pPr>
              <w:pStyle w:val="Normale1"/>
              <w:jc w:val="center"/>
            </w:pPr>
          </w:p>
          <w:p w:rsidR="004C1FA6" w:rsidRDefault="004C1FA6">
            <w:pPr>
              <w:pStyle w:val="Normale1"/>
              <w:jc w:val="center"/>
            </w:pPr>
          </w:p>
          <w:p w:rsidR="004C1FA6" w:rsidRDefault="004C1FA6">
            <w:pPr>
              <w:pStyle w:val="Normale1"/>
              <w:jc w:val="center"/>
            </w:pPr>
          </w:p>
          <w:p w:rsidR="004C1FA6" w:rsidRDefault="004C1FA6">
            <w:pPr>
              <w:pStyle w:val="Normale1"/>
              <w:jc w:val="center"/>
            </w:pPr>
          </w:p>
          <w:p w:rsidR="004C1FA6" w:rsidRDefault="004C1FA6">
            <w:pPr>
              <w:pStyle w:val="Normale1"/>
              <w:jc w:val="center"/>
            </w:pPr>
          </w:p>
          <w:p w:rsidR="004C1FA6" w:rsidRDefault="004C1FA6">
            <w:pPr>
              <w:pStyle w:val="Normale1"/>
              <w:jc w:val="center"/>
            </w:pPr>
          </w:p>
        </w:tc>
        <w:tc>
          <w:tcPr>
            <w:tcW w:w="1275" w:type="dxa"/>
            <w:tcBorders>
              <w:top w:val="nil"/>
              <w:left w:val="nil"/>
              <w:bottom w:val="nil"/>
              <w:right w:val="single" w:sz="4" w:space="0" w:color="000000"/>
            </w:tcBorders>
            <w:vAlign w:val="center"/>
          </w:tcPr>
          <w:p w:rsidR="004C1FA6" w:rsidRDefault="00CE022F">
            <w:pPr>
              <w:pStyle w:val="Normale1"/>
              <w:jc w:val="center"/>
            </w:pPr>
            <w:r>
              <w:rPr>
                <w:b/>
                <w:sz w:val="16"/>
                <w:szCs w:val="16"/>
              </w:rPr>
              <w:t>1ª lingua istruzione</w:t>
            </w:r>
          </w:p>
        </w:tc>
      </w:tr>
      <w:tr w:rsidR="004C1FA6">
        <w:trPr>
          <w:trHeight w:val="240"/>
        </w:trPr>
        <w:tc>
          <w:tcPr>
            <w:tcW w:w="615"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1277"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jc w:val="center"/>
            </w:pPr>
          </w:p>
          <w:p w:rsidR="004C1FA6" w:rsidRDefault="004C1FA6">
            <w:pPr>
              <w:pStyle w:val="Normale1"/>
              <w:jc w:val="center"/>
            </w:pPr>
          </w:p>
          <w:p w:rsidR="004C1FA6" w:rsidRDefault="004C1FA6">
            <w:pPr>
              <w:pStyle w:val="Normale1"/>
              <w:jc w:val="center"/>
            </w:pPr>
          </w:p>
        </w:tc>
        <w:tc>
          <w:tcPr>
            <w:tcW w:w="947" w:type="dxa"/>
            <w:tcBorders>
              <w:top w:val="nil"/>
              <w:left w:val="nil"/>
              <w:bottom w:val="single" w:sz="4" w:space="0" w:color="000000"/>
              <w:right w:val="single" w:sz="4" w:space="0" w:color="000000"/>
            </w:tcBorders>
            <w:vAlign w:val="center"/>
          </w:tcPr>
          <w:p w:rsidR="004C1FA6" w:rsidRDefault="004C1FA6">
            <w:pPr>
              <w:pStyle w:val="Normale1"/>
              <w:jc w:val="center"/>
            </w:pPr>
          </w:p>
        </w:tc>
        <w:tc>
          <w:tcPr>
            <w:tcW w:w="947"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657"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891"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668"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jc w:val="center"/>
            </w:pPr>
          </w:p>
          <w:p w:rsidR="004C1FA6" w:rsidRDefault="004C1FA6">
            <w:pPr>
              <w:pStyle w:val="Normale1"/>
              <w:jc w:val="center"/>
            </w:pPr>
          </w:p>
          <w:p w:rsidR="004C1FA6" w:rsidRDefault="004C1FA6">
            <w:pPr>
              <w:pStyle w:val="Normale1"/>
              <w:jc w:val="center"/>
            </w:pPr>
          </w:p>
          <w:p w:rsidR="004C1FA6" w:rsidRDefault="004C1FA6">
            <w:pPr>
              <w:pStyle w:val="Normale1"/>
              <w:jc w:val="center"/>
            </w:pPr>
          </w:p>
          <w:p w:rsidR="004C1FA6" w:rsidRDefault="004C1FA6">
            <w:pPr>
              <w:pStyle w:val="Normale1"/>
              <w:jc w:val="center"/>
            </w:pPr>
          </w:p>
          <w:p w:rsidR="004C1FA6" w:rsidRDefault="004C1FA6">
            <w:pPr>
              <w:pStyle w:val="Normale1"/>
              <w:jc w:val="center"/>
            </w:pPr>
          </w:p>
          <w:p w:rsidR="004C1FA6" w:rsidRDefault="004C1FA6">
            <w:pPr>
              <w:pStyle w:val="Normale1"/>
              <w:jc w:val="center"/>
            </w:pPr>
          </w:p>
        </w:tc>
        <w:tc>
          <w:tcPr>
            <w:tcW w:w="1275" w:type="dxa"/>
            <w:tcBorders>
              <w:top w:val="nil"/>
              <w:left w:val="nil"/>
              <w:bottom w:val="single" w:sz="4" w:space="0" w:color="000000"/>
              <w:right w:val="single" w:sz="4" w:space="0" w:color="000000"/>
            </w:tcBorders>
            <w:vAlign w:val="center"/>
          </w:tcPr>
          <w:p w:rsidR="004C1FA6" w:rsidRDefault="00CE022F">
            <w:pPr>
              <w:pStyle w:val="Normale1"/>
              <w:jc w:val="center"/>
            </w:pPr>
            <w:r>
              <w:rPr>
                <w:b/>
                <w:sz w:val="16"/>
                <w:szCs w:val="16"/>
              </w:rPr>
              <w:t>2 ª lingua istruzione</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BE</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 BRUSSEL01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VRIJE UNIVERSITEIT BRUSSEL</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BELGIO</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5</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2</w:t>
            </w:r>
          </w:p>
        </w:tc>
        <w:tc>
          <w:tcPr>
            <w:tcW w:w="1275" w:type="dxa"/>
            <w:tcBorders>
              <w:top w:val="nil"/>
              <w:left w:val="nil"/>
              <w:bottom w:val="nil"/>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Dutch</w:t>
            </w:r>
            <w:proofErr w:type="spellEnd"/>
            <w:r>
              <w:rPr>
                <w:sz w:val="16"/>
                <w:szCs w:val="16"/>
              </w:rPr>
              <w:t xml:space="preserve">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BE</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 GENT01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UNIVERSITEIT GENT</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BELGIO</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10</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1, 2, 3</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Dutch</w:t>
            </w:r>
            <w:proofErr w:type="spellEnd"/>
            <w:r>
              <w:rPr>
                <w:sz w:val="16"/>
                <w:szCs w:val="16"/>
              </w:rPr>
              <w:t xml:space="preserve"> B2</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B2</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BE</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 LEUVEN01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KATHOLIEKE UNIVERSITEIT LEUVEN</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BELGIO</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3</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Dutch</w:t>
            </w:r>
            <w:proofErr w:type="spellEnd"/>
            <w:r>
              <w:rPr>
                <w:sz w:val="16"/>
                <w:szCs w:val="16"/>
              </w:rPr>
              <w:t xml:space="preserve"> B2</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B2</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BE</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 LIEGE01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UNIVERSITÉ DE LIÈGE</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BELGIO</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2</w:t>
            </w:r>
          </w:p>
        </w:tc>
        <w:tc>
          <w:tcPr>
            <w:tcW w:w="1275" w:type="dxa"/>
            <w:tcBorders>
              <w:top w:val="nil"/>
              <w:left w:val="nil"/>
              <w:bottom w:val="nil"/>
              <w:right w:val="single" w:sz="4" w:space="0" w:color="000000"/>
            </w:tcBorders>
          </w:tcPr>
          <w:p w:rsidR="004C1FA6" w:rsidRDefault="00CE022F">
            <w:pPr>
              <w:pStyle w:val="Normale1"/>
            </w:pPr>
            <w:r>
              <w:rPr>
                <w:sz w:val="16"/>
                <w:szCs w:val="16"/>
              </w:rPr>
              <w:t>French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BG</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BG SOFIA11</w:t>
            </w:r>
          </w:p>
        </w:tc>
        <w:tc>
          <w:tcPr>
            <w:tcW w:w="1276" w:type="dxa"/>
            <w:vMerge w:val="restart"/>
            <w:tcBorders>
              <w:top w:val="nil"/>
              <w:left w:val="single" w:sz="4" w:space="0" w:color="000000"/>
              <w:bottom w:val="single" w:sz="4" w:space="0" w:color="000000"/>
              <w:right w:val="single" w:sz="4" w:space="0" w:color="000000"/>
            </w:tcBorders>
          </w:tcPr>
          <w:p w:rsidR="004C1FA6" w:rsidRPr="00116139" w:rsidRDefault="00CE022F">
            <w:pPr>
              <w:pStyle w:val="Normale1"/>
              <w:rPr>
                <w:lang w:val="en-US"/>
              </w:rPr>
            </w:pPr>
            <w:r w:rsidRPr="00116139">
              <w:rPr>
                <w:sz w:val="16"/>
                <w:szCs w:val="16"/>
                <w:lang w:val="en-US"/>
              </w:rPr>
              <w:t>MEDITSINSKI UNIVERSITET - SOFIA (MEDICAL UNIVERSITY - SOFIA)</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BULGARIA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Bulgarian</w:t>
            </w:r>
            <w:proofErr w:type="spellEnd"/>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CZ</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CZ PRAHA07</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UNIVERZITA KARLOVA</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REPUBBLICA CECA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Czech</w:t>
            </w:r>
            <w:proofErr w:type="spellEnd"/>
            <w:r>
              <w:rPr>
                <w:sz w:val="16"/>
                <w:szCs w:val="16"/>
              </w:rPr>
              <w:t xml:space="preserve"> B2</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B2</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DE</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D MUNCHEN01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LUDWIG-MAXIMILIANS-UNIVERSITÄT MÜNCHEN</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CAMPOLONGO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PATRIZIA</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GERMANIA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2, 3</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Dutch</w:t>
            </w:r>
            <w:proofErr w:type="spellEnd"/>
            <w:r>
              <w:rPr>
                <w:sz w:val="16"/>
                <w:szCs w:val="16"/>
              </w:rPr>
              <w:t xml:space="preserve">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bl>
    <w:p w:rsidR="004C1FA6" w:rsidRDefault="00CE022F">
      <w:pPr>
        <w:pStyle w:val="Normale1"/>
      </w:pPr>
      <w:r>
        <w:br w:type="page"/>
      </w:r>
    </w:p>
    <w:p w:rsidR="004C1FA6" w:rsidRDefault="004C1FA6">
      <w:pPr>
        <w:pStyle w:val="Normale1"/>
      </w:pPr>
    </w:p>
    <w:tbl>
      <w:tblPr>
        <w:tblStyle w:val="a0"/>
        <w:tblW w:w="10840" w:type="dxa"/>
        <w:tblInd w:w="-1608" w:type="dxa"/>
        <w:tblLayout w:type="fixed"/>
        <w:tblLook w:val="0000"/>
      </w:tblPr>
      <w:tblGrid>
        <w:gridCol w:w="615"/>
        <w:gridCol w:w="1277"/>
        <w:gridCol w:w="1276"/>
        <w:gridCol w:w="947"/>
        <w:gridCol w:w="947"/>
        <w:gridCol w:w="657"/>
        <w:gridCol w:w="851"/>
        <w:gridCol w:w="891"/>
        <w:gridCol w:w="668"/>
        <w:gridCol w:w="727"/>
        <w:gridCol w:w="709"/>
        <w:gridCol w:w="1275"/>
      </w:tblGrid>
      <w:tr w:rsidR="004C1FA6">
        <w:trPr>
          <w:trHeight w:val="500"/>
        </w:trPr>
        <w:tc>
          <w:tcPr>
            <w:tcW w:w="615" w:type="dxa"/>
            <w:tcBorders>
              <w:top w:val="single" w:sz="4" w:space="0" w:color="000000"/>
              <w:left w:val="single" w:sz="4" w:space="0" w:color="000000"/>
              <w:bottom w:val="single" w:sz="4" w:space="0" w:color="000000"/>
              <w:right w:val="single" w:sz="4" w:space="0" w:color="000000"/>
            </w:tcBorders>
          </w:tcPr>
          <w:p w:rsidR="004C1FA6" w:rsidRDefault="00CE022F">
            <w:pPr>
              <w:pStyle w:val="Normale1"/>
            </w:pPr>
            <w:r>
              <w:rPr>
                <w:sz w:val="16"/>
                <w:szCs w:val="16"/>
              </w:rPr>
              <w:t>DE</w:t>
            </w:r>
          </w:p>
        </w:tc>
        <w:tc>
          <w:tcPr>
            <w:tcW w:w="1277"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D SAARBRU01</w:t>
            </w:r>
          </w:p>
        </w:tc>
        <w:tc>
          <w:tcPr>
            <w:tcW w:w="1276"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UNIVERSITAT DES SAARLANDES</w:t>
            </w:r>
          </w:p>
        </w:tc>
        <w:tc>
          <w:tcPr>
            <w:tcW w:w="947"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MAI</w:t>
            </w:r>
          </w:p>
        </w:tc>
        <w:tc>
          <w:tcPr>
            <w:tcW w:w="947"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ANTONELLO</w:t>
            </w:r>
          </w:p>
        </w:tc>
        <w:tc>
          <w:tcPr>
            <w:tcW w:w="657" w:type="dxa"/>
            <w:tcBorders>
              <w:top w:val="single" w:sz="4" w:space="0" w:color="000000"/>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single" w:sz="4" w:space="0" w:color="000000"/>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GERMANIA</w:t>
            </w:r>
          </w:p>
        </w:tc>
        <w:tc>
          <w:tcPr>
            <w:tcW w:w="668" w:type="dxa"/>
            <w:tcBorders>
              <w:top w:val="single" w:sz="4" w:space="0" w:color="000000"/>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single" w:sz="4" w:space="0" w:color="000000"/>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single" w:sz="4" w:space="0" w:color="000000"/>
              <w:left w:val="nil"/>
              <w:bottom w:val="single" w:sz="4" w:space="0" w:color="000000"/>
              <w:right w:val="single" w:sz="4" w:space="0" w:color="000000"/>
            </w:tcBorders>
          </w:tcPr>
          <w:p w:rsidR="004C1FA6" w:rsidRDefault="00CE022F">
            <w:pPr>
              <w:pStyle w:val="Normale1"/>
              <w:jc w:val="right"/>
            </w:pPr>
            <w:r>
              <w:rPr>
                <w:sz w:val="16"/>
                <w:szCs w:val="16"/>
              </w:rPr>
              <w:t>2,3</w:t>
            </w:r>
          </w:p>
        </w:tc>
        <w:tc>
          <w:tcPr>
            <w:tcW w:w="1275" w:type="dxa"/>
            <w:tcBorders>
              <w:top w:val="single" w:sz="4" w:space="0" w:color="000000"/>
              <w:left w:val="nil"/>
              <w:bottom w:val="single" w:sz="4" w:space="0" w:color="000000"/>
              <w:right w:val="single" w:sz="4" w:space="0" w:color="000000"/>
            </w:tcBorders>
          </w:tcPr>
          <w:p w:rsidR="004C1FA6" w:rsidRDefault="00CE022F">
            <w:pPr>
              <w:pStyle w:val="Normale1"/>
            </w:pPr>
            <w:proofErr w:type="spellStart"/>
            <w:r>
              <w:rPr>
                <w:sz w:val="16"/>
                <w:szCs w:val="16"/>
              </w:rPr>
              <w:t>German</w:t>
            </w:r>
            <w:proofErr w:type="spellEnd"/>
            <w:r>
              <w:rPr>
                <w:sz w:val="16"/>
                <w:szCs w:val="16"/>
              </w:rPr>
              <w:t xml:space="preserve">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DE</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D WURZBUR01</w:t>
            </w:r>
          </w:p>
        </w:tc>
        <w:tc>
          <w:tcPr>
            <w:tcW w:w="1276" w:type="dxa"/>
            <w:vMerge w:val="restart"/>
            <w:tcBorders>
              <w:top w:val="nil"/>
              <w:left w:val="single" w:sz="4" w:space="0" w:color="000000"/>
              <w:bottom w:val="single" w:sz="4" w:space="0" w:color="000000"/>
              <w:right w:val="single" w:sz="4" w:space="0" w:color="000000"/>
            </w:tcBorders>
          </w:tcPr>
          <w:p w:rsidR="004C1FA6" w:rsidRPr="00116139" w:rsidRDefault="00CE022F">
            <w:pPr>
              <w:pStyle w:val="Normale1"/>
              <w:rPr>
                <w:lang w:val="en-US"/>
              </w:rPr>
            </w:pPr>
            <w:r w:rsidRPr="00116139">
              <w:rPr>
                <w:sz w:val="16"/>
                <w:szCs w:val="16"/>
                <w:lang w:val="en-US"/>
              </w:rPr>
              <w:t>BAYERISCHE JULIUS-MAXIMILIANS-SCHWEINFURT-ABT WURZBURG</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GERMANIA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10</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1, 2, 3</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German</w:t>
            </w:r>
            <w:proofErr w:type="spellEnd"/>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rFonts w:ascii="Calibri" w:eastAsia="Calibri" w:hAnsi="Calibri" w:cs="Calibri"/>
                <w:sz w:val="16"/>
                <w:szCs w:val="16"/>
              </w:rPr>
              <w:t> </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B1/B2</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ES</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 BARCELO01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UNIVERSIDAD DE BARCELONA</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SPAGNA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Catalan</w:t>
            </w:r>
            <w:proofErr w:type="spellEnd"/>
            <w:r>
              <w:rPr>
                <w:sz w:val="16"/>
                <w:szCs w:val="16"/>
              </w:rPr>
              <w:t>/</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sz w:val="16"/>
                <w:szCs w:val="16"/>
              </w:rPr>
              <w:t>Spanish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ES</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 BILBAO01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UNIVERSIDAD DEL PAÍS VASCO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SPAGNA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1</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5</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Catalan</w:t>
            </w:r>
            <w:proofErr w:type="spellEnd"/>
            <w:r>
              <w:rPr>
                <w:sz w:val="16"/>
                <w:szCs w:val="16"/>
              </w:rPr>
              <w:t>/</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sz w:val="16"/>
                <w:szCs w:val="16"/>
              </w:rPr>
              <w:t>SpanishB1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ES</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 BILBAO01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UNIVERSIDAD DEL PAÍS VASCO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SPAGNA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1</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10</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Catalan</w:t>
            </w:r>
            <w:proofErr w:type="spellEnd"/>
            <w:r>
              <w:rPr>
                <w:sz w:val="16"/>
                <w:szCs w:val="16"/>
              </w:rPr>
              <w:t>/</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sz w:val="16"/>
                <w:szCs w:val="16"/>
              </w:rPr>
              <w:t>SpanishB1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ES</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E GRANADA01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UNIVERSIDAD DE GRANADA</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SPAGNA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4</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w:t>
            </w:r>
          </w:p>
        </w:tc>
        <w:tc>
          <w:tcPr>
            <w:tcW w:w="709" w:type="dxa"/>
            <w:tcBorders>
              <w:top w:val="nil"/>
              <w:left w:val="nil"/>
              <w:bottom w:val="single" w:sz="4" w:space="0" w:color="000000"/>
              <w:right w:val="single" w:sz="4" w:space="0" w:color="000000"/>
            </w:tcBorders>
          </w:tcPr>
          <w:p w:rsidR="004C1FA6" w:rsidRDefault="00CE022F">
            <w:pPr>
              <w:pStyle w:val="Normale1"/>
              <w:jc w:val="right"/>
            </w:pPr>
            <w:r>
              <w:rPr>
                <w:sz w:val="16"/>
                <w:szCs w:val="16"/>
              </w:rPr>
              <w:t>1</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SpanishB1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ES</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 MADRID03</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UNIVERSIDAD COMPLUTENSE DE MADRID</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SPAGNA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r>
              <w:rPr>
                <w:sz w:val="16"/>
                <w:szCs w:val="16"/>
              </w:rPr>
              <w:t>SpanishB1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sz w:val="16"/>
                <w:szCs w:val="16"/>
              </w:rPr>
              <w:t>EnglishC1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w:t>
            </w:r>
            <w:proofErr w:type="spellStart"/>
            <w:r>
              <w:rPr>
                <w:sz w:val="16"/>
                <w:szCs w:val="16"/>
              </w:rPr>
              <w:t>only</w:t>
            </w:r>
            <w:proofErr w:type="spellEnd"/>
            <w:r>
              <w:rPr>
                <w:sz w:val="16"/>
                <w:szCs w:val="16"/>
              </w:rPr>
              <w:t xml:space="preserve"> </w:t>
            </w:r>
            <w:proofErr w:type="spellStart"/>
            <w:r>
              <w:rPr>
                <w:sz w:val="16"/>
                <w:szCs w:val="16"/>
              </w:rPr>
              <w:t>for</w:t>
            </w:r>
            <w:proofErr w:type="spellEnd"/>
            <w:r>
              <w:rPr>
                <w:sz w:val="16"/>
                <w:szCs w:val="16"/>
              </w:rPr>
              <w:t xml:space="preserve"> English </w:t>
            </w:r>
            <w:proofErr w:type="spellStart"/>
            <w:r>
              <w:rPr>
                <w:sz w:val="16"/>
                <w:szCs w:val="16"/>
              </w:rPr>
              <w:t>courses</w:t>
            </w:r>
            <w:proofErr w:type="spellEnd"/>
            <w:r>
              <w:rPr>
                <w:sz w:val="16"/>
                <w:szCs w:val="16"/>
              </w:rPr>
              <w:t>)</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ES</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E MADRID21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UNIVERSIDAD SAN PABLO-CEU</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SPAGNA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Spanish EnglishB1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ES</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 SALAMAN02</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UNIVERSIDAD DE SALAMANCA</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SPAGNA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r>
              <w:rPr>
                <w:sz w:val="16"/>
                <w:szCs w:val="16"/>
              </w:rPr>
              <w:t>SpanishB2</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ES</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 SANTIAG01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UNIVERSIDAD DE SANTIAGO DE COMPOSTELA</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SPAGNA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3</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1</w:t>
            </w:r>
          </w:p>
        </w:tc>
        <w:tc>
          <w:tcPr>
            <w:tcW w:w="1275" w:type="dxa"/>
            <w:tcBorders>
              <w:top w:val="nil"/>
              <w:left w:val="nil"/>
              <w:bottom w:val="nil"/>
              <w:right w:val="single" w:sz="4" w:space="0" w:color="000000"/>
            </w:tcBorders>
          </w:tcPr>
          <w:p w:rsidR="004C1FA6" w:rsidRDefault="00CE022F">
            <w:pPr>
              <w:pStyle w:val="Normale1"/>
            </w:pPr>
            <w:r>
              <w:rPr>
                <w:sz w:val="16"/>
                <w:szCs w:val="16"/>
              </w:rPr>
              <w:t>Spanish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Galician</w:t>
            </w:r>
            <w:proofErr w:type="spellEnd"/>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ES</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E VALENCI01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UNIVERSIDAD DE VALENCIA</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SPAGNA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jc w:val="right"/>
            </w:pPr>
            <w:r>
              <w:rPr>
                <w:sz w:val="16"/>
                <w:szCs w:val="16"/>
              </w:rPr>
              <w:t>1</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Spanish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ES</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 ZARAGOZ07</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UNIVERSIDAD SAN JORGE</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SPAGNA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1</w:t>
            </w:r>
          </w:p>
        </w:tc>
        <w:tc>
          <w:tcPr>
            <w:tcW w:w="1275" w:type="dxa"/>
            <w:tcBorders>
              <w:top w:val="nil"/>
              <w:left w:val="nil"/>
              <w:bottom w:val="nil"/>
              <w:right w:val="single" w:sz="4" w:space="0" w:color="000000"/>
            </w:tcBorders>
          </w:tcPr>
          <w:p w:rsidR="004C1FA6" w:rsidRDefault="00CE022F">
            <w:pPr>
              <w:pStyle w:val="Normale1"/>
            </w:pPr>
            <w:r>
              <w:rPr>
                <w:sz w:val="16"/>
                <w:szCs w:val="16"/>
              </w:rPr>
              <w:t>Spanish B2</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w:t>
            </w:r>
            <w:proofErr w:type="spellStart"/>
            <w:r>
              <w:rPr>
                <w:sz w:val="16"/>
                <w:szCs w:val="16"/>
              </w:rPr>
              <w:t>where</w:t>
            </w:r>
            <w:proofErr w:type="spellEnd"/>
            <w:r>
              <w:rPr>
                <w:sz w:val="16"/>
                <w:szCs w:val="16"/>
              </w:rPr>
              <w:t xml:space="preserve"> </w:t>
            </w:r>
            <w:proofErr w:type="spellStart"/>
            <w:r>
              <w:rPr>
                <w:sz w:val="16"/>
                <w:szCs w:val="16"/>
              </w:rPr>
              <w:t>indicated</w:t>
            </w:r>
            <w:proofErr w:type="spellEnd"/>
            <w:r>
              <w:rPr>
                <w:sz w:val="16"/>
                <w:szCs w:val="16"/>
              </w:rPr>
              <w:t>)</w:t>
            </w:r>
          </w:p>
        </w:tc>
      </w:tr>
      <w:tr w:rsidR="004C1FA6">
        <w:trPr>
          <w:trHeight w:val="76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F AMIENS01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UNIVERSITÉ DE PICARDIE JULES VERNE</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FRANCIA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French B1</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F BESANCO01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UNIVERSITÉ DE FRANCHE-COMTE</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FRANCIA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French B2</w:t>
            </w:r>
          </w:p>
        </w:tc>
      </w:tr>
    </w:tbl>
    <w:p w:rsidR="004C1FA6" w:rsidRDefault="00CE022F">
      <w:pPr>
        <w:pStyle w:val="Normale1"/>
      </w:pPr>
      <w:r>
        <w:br w:type="page"/>
      </w:r>
    </w:p>
    <w:p w:rsidR="004C1FA6" w:rsidRDefault="004C1FA6">
      <w:pPr>
        <w:pStyle w:val="Normale1"/>
      </w:pPr>
    </w:p>
    <w:tbl>
      <w:tblPr>
        <w:tblStyle w:val="a1"/>
        <w:tblW w:w="10840" w:type="dxa"/>
        <w:tblInd w:w="-1608" w:type="dxa"/>
        <w:tblLayout w:type="fixed"/>
        <w:tblLook w:val="0000"/>
      </w:tblPr>
      <w:tblGrid>
        <w:gridCol w:w="615"/>
        <w:gridCol w:w="1277"/>
        <w:gridCol w:w="1276"/>
        <w:gridCol w:w="947"/>
        <w:gridCol w:w="947"/>
        <w:gridCol w:w="657"/>
        <w:gridCol w:w="851"/>
        <w:gridCol w:w="891"/>
        <w:gridCol w:w="668"/>
        <w:gridCol w:w="727"/>
        <w:gridCol w:w="709"/>
        <w:gridCol w:w="1275"/>
      </w:tblGrid>
      <w:tr w:rsidR="004C1FA6">
        <w:trPr>
          <w:trHeight w:val="760"/>
        </w:trPr>
        <w:tc>
          <w:tcPr>
            <w:tcW w:w="615" w:type="dxa"/>
            <w:tcBorders>
              <w:top w:val="single" w:sz="4" w:space="0" w:color="000000"/>
              <w:left w:val="single" w:sz="4" w:space="0" w:color="000000"/>
              <w:bottom w:val="single" w:sz="4" w:space="0" w:color="000000"/>
              <w:right w:val="single" w:sz="4" w:space="0" w:color="000000"/>
            </w:tcBorders>
          </w:tcPr>
          <w:p w:rsidR="004C1FA6" w:rsidRDefault="00CE022F">
            <w:pPr>
              <w:pStyle w:val="Normale1"/>
            </w:pPr>
            <w:r>
              <w:rPr>
                <w:sz w:val="16"/>
                <w:szCs w:val="16"/>
              </w:rPr>
              <w:t>FR</w:t>
            </w:r>
          </w:p>
        </w:tc>
        <w:tc>
          <w:tcPr>
            <w:tcW w:w="1277"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F BORDEAU02</w:t>
            </w:r>
          </w:p>
        </w:tc>
        <w:tc>
          <w:tcPr>
            <w:tcW w:w="1276"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UNIVERSITÉ VICTOR SEGALEN BORDEAUX 2</w:t>
            </w:r>
          </w:p>
        </w:tc>
        <w:tc>
          <w:tcPr>
            <w:tcW w:w="947"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single" w:sz="4" w:space="0" w:color="000000"/>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single" w:sz="4" w:space="0" w:color="000000"/>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FRANCIA</w:t>
            </w:r>
          </w:p>
        </w:tc>
        <w:tc>
          <w:tcPr>
            <w:tcW w:w="668" w:type="dxa"/>
            <w:tcBorders>
              <w:top w:val="single" w:sz="4" w:space="0" w:color="000000"/>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single" w:sz="4" w:space="0" w:color="000000"/>
              <w:left w:val="nil"/>
              <w:bottom w:val="single" w:sz="4" w:space="0" w:color="000000"/>
              <w:right w:val="single" w:sz="4" w:space="0" w:color="000000"/>
            </w:tcBorders>
          </w:tcPr>
          <w:p w:rsidR="004C1FA6" w:rsidRDefault="00CE022F">
            <w:pPr>
              <w:pStyle w:val="Normale1"/>
              <w:jc w:val="right"/>
            </w:pPr>
            <w:r>
              <w:rPr>
                <w:sz w:val="16"/>
                <w:szCs w:val="16"/>
              </w:rPr>
              <w:t>10</w:t>
            </w:r>
          </w:p>
        </w:tc>
        <w:tc>
          <w:tcPr>
            <w:tcW w:w="709"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French B1/B2</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 COMPIEG05</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ECOLE SUPERIEURE DE CHIMIE ORGANIQUE ET MINERALE (ESCOM)</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FRANCIA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r>
              <w:rPr>
                <w:sz w:val="16"/>
                <w:szCs w:val="16"/>
              </w:rPr>
              <w:t>French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 GRENOBL01</w:t>
            </w:r>
          </w:p>
        </w:tc>
        <w:tc>
          <w:tcPr>
            <w:tcW w:w="1276" w:type="dxa"/>
            <w:vMerge w:val="restart"/>
            <w:tcBorders>
              <w:top w:val="nil"/>
              <w:left w:val="single" w:sz="4" w:space="0" w:color="000000"/>
              <w:bottom w:val="single" w:sz="4" w:space="0" w:color="000000"/>
              <w:right w:val="single" w:sz="4" w:space="0" w:color="000000"/>
            </w:tcBorders>
          </w:tcPr>
          <w:p w:rsidR="004C1FA6" w:rsidRPr="00116139" w:rsidRDefault="00CE022F">
            <w:pPr>
              <w:pStyle w:val="Normale1"/>
              <w:rPr>
                <w:lang w:val="en-US"/>
              </w:rPr>
            </w:pPr>
            <w:r w:rsidRPr="00116139">
              <w:rPr>
                <w:sz w:val="16"/>
                <w:szCs w:val="16"/>
                <w:lang w:val="en-US"/>
              </w:rPr>
              <w:t>UNIVERSITÉ JOSEPH FOURIER GRENOBLE I</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FRANCIA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r>
              <w:rPr>
                <w:sz w:val="16"/>
                <w:szCs w:val="16"/>
              </w:rPr>
              <w:t>French/</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rFonts w:ascii="Calibri" w:eastAsia="Calibri" w:hAnsi="Calibri" w:cs="Calibri"/>
                <w:sz w:val="16"/>
                <w:szCs w:val="16"/>
              </w:rPr>
              <w:t> </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B1/B2</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F LIMOGES01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UNIVERSITÉ DE LIMOGES</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FRANCIA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French B2</w:t>
            </w:r>
          </w:p>
        </w:tc>
      </w:tr>
      <w:tr w:rsidR="004C1FA6">
        <w:trPr>
          <w:trHeight w:val="76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F LYON01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UNIVERSITÉ CLAUDE BERNARD LYON 1</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FRANCIA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1, 2, 3</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French B2</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F NANCY43</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UNIVERSITE DE LORRAINE</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FRANCIA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French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 NANTES01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UNIVERSITE DE NANTES</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FRANCIA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r>
              <w:rPr>
                <w:sz w:val="16"/>
                <w:szCs w:val="16"/>
              </w:rPr>
              <w:t>French/</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rFonts w:ascii="Calibri" w:eastAsia="Calibri" w:hAnsi="Calibri" w:cs="Calibri"/>
                <w:sz w:val="16"/>
                <w:szCs w:val="16"/>
              </w:rPr>
              <w:t> </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F PARIS005</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UNIVERSITÉ PARIS DESCARTES</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FRANCIA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French B2</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FR</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F POITIER01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UNIVERSITÉ DE POITIERS</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FRANCIA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French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GR</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G ATHINE01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ETHNIKÒ KAI KAPODISTRIAKÒ PANEPISTIMIO ATHINÒN</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GRECIA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1</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Greek</w:t>
            </w:r>
            <w:proofErr w:type="spellEnd"/>
            <w:r>
              <w:rPr>
                <w:sz w:val="16"/>
                <w:szCs w:val="16"/>
              </w:rPr>
              <w:t xml:space="preserve">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sz w:val="16"/>
                <w:szCs w:val="16"/>
              </w:rPr>
              <w:t> </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B2</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GR</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G PATRA 01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PANEPISTIMIO PATRON</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GRECIA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jc w:val="right"/>
            </w:pPr>
            <w:r>
              <w:rPr>
                <w:sz w:val="16"/>
                <w:szCs w:val="16"/>
              </w:rPr>
              <w:t>1</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GR</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G THESSAL01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ARISTOTELIOU PANEPISTIMIO THESSALONIKIS</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GRECIA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1</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1, 2, 3</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Greek</w:t>
            </w:r>
            <w:proofErr w:type="spellEnd"/>
            <w:r>
              <w:rPr>
                <w:sz w:val="16"/>
                <w:szCs w:val="16"/>
              </w:rPr>
              <w:t xml:space="preserve">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B2</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HR</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HR ZAGREB01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SVEUCILIŠTE U ZAGREBU</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CROAZIA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1, 2, 3</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Croatian</w:t>
            </w:r>
            <w:proofErr w:type="spellEnd"/>
            <w:r>
              <w:rPr>
                <w:sz w:val="16"/>
                <w:szCs w:val="16"/>
              </w:rPr>
              <w:t xml:space="preserve"> B2</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B2</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HU</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HU BUDAPES08</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SEMMELWEIS EGYETEM</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UNGHERIA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1,2,3,</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B2</w:t>
            </w:r>
          </w:p>
        </w:tc>
      </w:tr>
    </w:tbl>
    <w:p w:rsidR="004C1FA6" w:rsidRDefault="00CE022F">
      <w:pPr>
        <w:pStyle w:val="Normale1"/>
      </w:pPr>
      <w:r>
        <w:br w:type="page"/>
      </w:r>
    </w:p>
    <w:p w:rsidR="004C1FA6" w:rsidRDefault="004C1FA6">
      <w:pPr>
        <w:pStyle w:val="Normale1"/>
      </w:pPr>
    </w:p>
    <w:tbl>
      <w:tblPr>
        <w:tblStyle w:val="a2"/>
        <w:tblW w:w="10840" w:type="dxa"/>
        <w:tblInd w:w="-1608" w:type="dxa"/>
        <w:tblLayout w:type="fixed"/>
        <w:tblLook w:val="0000"/>
      </w:tblPr>
      <w:tblGrid>
        <w:gridCol w:w="615"/>
        <w:gridCol w:w="1277"/>
        <w:gridCol w:w="1276"/>
        <w:gridCol w:w="947"/>
        <w:gridCol w:w="947"/>
        <w:gridCol w:w="657"/>
        <w:gridCol w:w="851"/>
        <w:gridCol w:w="891"/>
        <w:gridCol w:w="668"/>
        <w:gridCol w:w="727"/>
        <w:gridCol w:w="709"/>
        <w:gridCol w:w="1275"/>
      </w:tblGrid>
      <w:tr w:rsidR="004C1FA6">
        <w:trPr>
          <w:trHeight w:val="500"/>
        </w:trPr>
        <w:tc>
          <w:tcPr>
            <w:tcW w:w="615" w:type="dxa"/>
            <w:tcBorders>
              <w:top w:val="single" w:sz="4" w:space="0" w:color="000000"/>
              <w:left w:val="single" w:sz="4" w:space="0" w:color="000000"/>
              <w:bottom w:val="single" w:sz="4" w:space="0" w:color="000000"/>
              <w:right w:val="single" w:sz="4" w:space="0" w:color="000000"/>
            </w:tcBorders>
          </w:tcPr>
          <w:p w:rsidR="004C1FA6" w:rsidRDefault="00CE022F">
            <w:pPr>
              <w:pStyle w:val="Normale1"/>
            </w:pPr>
            <w:r>
              <w:rPr>
                <w:sz w:val="16"/>
                <w:szCs w:val="16"/>
              </w:rPr>
              <w:t>MT</w:t>
            </w:r>
          </w:p>
        </w:tc>
        <w:tc>
          <w:tcPr>
            <w:tcW w:w="1277"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MT MALTA01</w:t>
            </w:r>
          </w:p>
        </w:tc>
        <w:tc>
          <w:tcPr>
            <w:tcW w:w="1276"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UNIVERSITY OF MALTA</w:t>
            </w:r>
          </w:p>
        </w:tc>
        <w:tc>
          <w:tcPr>
            <w:tcW w:w="947"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single" w:sz="4" w:space="0" w:color="000000"/>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single" w:sz="4" w:space="0" w:color="000000"/>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MALTA</w:t>
            </w:r>
          </w:p>
        </w:tc>
        <w:tc>
          <w:tcPr>
            <w:tcW w:w="668" w:type="dxa"/>
            <w:tcBorders>
              <w:top w:val="single" w:sz="4" w:space="0" w:color="000000"/>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single" w:sz="4" w:space="0" w:color="000000"/>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single" w:sz="4" w:space="0" w:color="000000"/>
              <w:left w:val="nil"/>
              <w:bottom w:val="single" w:sz="4" w:space="0" w:color="000000"/>
              <w:right w:val="single" w:sz="4" w:space="0" w:color="000000"/>
            </w:tcBorders>
          </w:tcPr>
          <w:p w:rsidR="004C1FA6" w:rsidRDefault="00CE022F">
            <w:pPr>
              <w:pStyle w:val="Normale1"/>
              <w:jc w:val="right"/>
            </w:pPr>
            <w:r>
              <w:rPr>
                <w:sz w:val="16"/>
                <w:szCs w:val="16"/>
              </w:rPr>
              <w:t>1</w:t>
            </w:r>
          </w:p>
        </w:tc>
        <w:tc>
          <w:tcPr>
            <w:tcW w:w="1275" w:type="dxa"/>
            <w:tcBorders>
              <w:top w:val="single" w:sz="4" w:space="0" w:color="000000"/>
              <w:left w:val="nil"/>
              <w:bottom w:val="single" w:sz="4" w:space="0" w:color="000000"/>
              <w:right w:val="single" w:sz="4" w:space="0" w:color="000000"/>
            </w:tcBorders>
          </w:tcPr>
          <w:p w:rsidR="004C1FA6" w:rsidRDefault="00CE022F">
            <w:pPr>
              <w:pStyle w:val="Normale1"/>
            </w:pPr>
            <w:r>
              <w:rPr>
                <w:sz w:val="16"/>
                <w:szCs w:val="16"/>
              </w:rPr>
              <w:t>English B2</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NL</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NL GRONING01</w:t>
            </w:r>
          </w:p>
        </w:tc>
        <w:tc>
          <w:tcPr>
            <w:tcW w:w="1276" w:type="dxa"/>
            <w:vMerge w:val="restart"/>
            <w:tcBorders>
              <w:top w:val="nil"/>
              <w:left w:val="single" w:sz="4" w:space="0" w:color="000000"/>
              <w:bottom w:val="single" w:sz="4" w:space="0" w:color="000000"/>
              <w:right w:val="single" w:sz="4" w:space="0" w:color="000000"/>
            </w:tcBorders>
          </w:tcPr>
          <w:p w:rsidR="004C1FA6" w:rsidRPr="00116139" w:rsidRDefault="00CE022F">
            <w:pPr>
              <w:pStyle w:val="Normale1"/>
              <w:rPr>
                <w:lang w:val="en-US"/>
              </w:rPr>
            </w:pPr>
            <w:r w:rsidRPr="00116139">
              <w:rPr>
                <w:sz w:val="16"/>
                <w:szCs w:val="16"/>
                <w:lang w:val="en-US"/>
              </w:rPr>
              <w:t>RIJKSUNIVERSITEIT GRONINGEN - RUG UNIVERSITY OF GRONINGEN</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OLANDA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r>
              <w:rPr>
                <w:sz w:val="16"/>
                <w:szCs w:val="16"/>
              </w:rPr>
              <w:t>English</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B2/C1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NL</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NL UTRECHT 01</w:t>
            </w:r>
          </w:p>
        </w:tc>
        <w:tc>
          <w:tcPr>
            <w:tcW w:w="1276" w:type="dxa"/>
            <w:tcBorders>
              <w:top w:val="nil"/>
              <w:left w:val="nil"/>
              <w:bottom w:val="nil"/>
              <w:right w:val="single" w:sz="4" w:space="0" w:color="000000"/>
            </w:tcBorders>
          </w:tcPr>
          <w:p w:rsidR="004C1FA6" w:rsidRDefault="00CE022F">
            <w:pPr>
              <w:pStyle w:val="Normale1"/>
            </w:pPr>
            <w:r>
              <w:rPr>
                <w:sz w:val="16"/>
                <w:szCs w:val="16"/>
              </w:rPr>
              <w:t>UNIVERSITEIT</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OLANDA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5</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2</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Dutch</w:t>
            </w:r>
            <w:proofErr w:type="spellEnd"/>
            <w:r>
              <w:rPr>
                <w:sz w:val="16"/>
                <w:szCs w:val="16"/>
              </w:rPr>
              <w:t xml:space="preserve"> B2</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tc>
        <w:tc>
          <w:tcPr>
            <w:tcW w:w="1276" w:type="dxa"/>
            <w:tcBorders>
              <w:top w:val="nil"/>
              <w:left w:val="nil"/>
              <w:bottom w:val="nil"/>
              <w:right w:val="single" w:sz="4" w:space="0" w:color="000000"/>
            </w:tcBorders>
          </w:tcPr>
          <w:p w:rsidR="004C1FA6" w:rsidRDefault="00CE022F">
            <w:pPr>
              <w:pStyle w:val="Normale1"/>
            </w:pPr>
            <w:r>
              <w:rPr>
                <w:rFonts w:ascii="Calibri" w:eastAsia="Calibri" w:hAnsi="Calibri" w:cs="Calibri"/>
                <w:sz w:val="16"/>
                <w:szCs w:val="16"/>
              </w:rPr>
              <w:t> </w:t>
            </w: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rFonts w:ascii="Calibri" w:eastAsia="Calibri" w:hAnsi="Calibri" w:cs="Calibri"/>
                <w:sz w:val="16"/>
                <w:szCs w:val="16"/>
              </w:rPr>
              <w:t> </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tc>
        <w:tc>
          <w:tcPr>
            <w:tcW w:w="1276" w:type="dxa"/>
            <w:tcBorders>
              <w:top w:val="nil"/>
              <w:left w:val="nil"/>
              <w:bottom w:val="nil"/>
              <w:right w:val="single" w:sz="4" w:space="0" w:color="000000"/>
            </w:tcBorders>
          </w:tcPr>
          <w:p w:rsidR="004C1FA6" w:rsidRDefault="00CE022F">
            <w:pPr>
              <w:pStyle w:val="Normale1"/>
            </w:pPr>
            <w:r>
              <w:rPr>
                <w:sz w:val="16"/>
                <w:szCs w:val="16"/>
              </w:rPr>
              <w:t>UTRECHT</w:t>
            </w: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sz w:val="16"/>
                <w:szCs w:val="16"/>
              </w:rPr>
              <w:t>C1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tc>
        <w:tc>
          <w:tcPr>
            <w:tcW w:w="1276" w:type="dxa"/>
            <w:tcBorders>
              <w:top w:val="nil"/>
              <w:left w:val="nil"/>
              <w:bottom w:val="nil"/>
              <w:right w:val="single" w:sz="4" w:space="0" w:color="000000"/>
            </w:tcBorders>
          </w:tcPr>
          <w:p w:rsidR="004C1FA6" w:rsidRDefault="00CE022F">
            <w:pPr>
              <w:pStyle w:val="Normale1"/>
            </w:pPr>
            <w:r>
              <w:rPr>
                <w:rFonts w:ascii="Calibri" w:eastAsia="Calibri" w:hAnsi="Calibri" w:cs="Calibri"/>
                <w:sz w:val="16"/>
                <w:szCs w:val="16"/>
              </w:rPr>
              <w:t> </w:t>
            </w: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rFonts w:ascii="Calibri" w:eastAsia="Calibri" w:hAnsi="Calibri" w:cs="Calibri"/>
                <w:sz w:val="16"/>
                <w:szCs w:val="16"/>
              </w:rPr>
              <w:t> </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tc>
        <w:tc>
          <w:tcPr>
            <w:tcW w:w="1276" w:type="dxa"/>
            <w:tcBorders>
              <w:top w:val="nil"/>
              <w:left w:val="nil"/>
              <w:bottom w:val="nil"/>
              <w:right w:val="single" w:sz="4" w:space="0" w:color="000000"/>
            </w:tcBorders>
          </w:tcPr>
          <w:p w:rsidR="004C1FA6" w:rsidRDefault="00CE022F">
            <w:pPr>
              <w:pStyle w:val="Normale1"/>
            </w:pPr>
            <w:r>
              <w:rPr>
                <w:rFonts w:ascii="Calibri" w:eastAsia="Calibri" w:hAnsi="Calibri" w:cs="Calibri"/>
                <w:sz w:val="16"/>
                <w:szCs w:val="16"/>
              </w:rPr>
              <w:t> </w:t>
            </w: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sz w:val="16"/>
                <w:szCs w:val="16"/>
              </w:rPr>
              <w:t>English B2</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tc>
        <w:tc>
          <w:tcPr>
            <w:tcW w:w="1276" w:type="dxa"/>
            <w:tcBorders>
              <w:top w:val="nil"/>
              <w:left w:val="nil"/>
              <w:bottom w:val="nil"/>
              <w:right w:val="single" w:sz="4" w:space="0" w:color="000000"/>
            </w:tcBorders>
          </w:tcPr>
          <w:p w:rsidR="004C1FA6" w:rsidRDefault="00CE022F">
            <w:pPr>
              <w:pStyle w:val="Normale1"/>
            </w:pPr>
            <w:r>
              <w:rPr>
                <w:rFonts w:ascii="Calibri" w:eastAsia="Calibri" w:hAnsi="Calibri" w:cs="Calibri"/>
                <w:sz w:val="16"/>
                <w:szCs w:val="16"/>
              </w:rPr>
              <w:t> </w:t>
            </w: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rFonts w:ascii="Calibri" w:eastAsia="Calibri" w:hAnsi="Calibri" w:cs="Calibri"/>
                <w:sz w:val="16"/>
                <w:szCs w:val="16"/>
              </w:rPr>
              <w:t> </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tc>
        <w:tc>
          <w:tcPr>
            <w:tcW w:w="1276" w:type="dxa"/>
            <w:tcBorders>
              <w:top w:val="nil"/>
              <w:left w:val="nil"/>
              <w:bottom w:val="single" w:sz="4" w:space="0" w:color="000000"/>
              <w:right w:val="single" w:sz="4" w:space="0" w:color="000000"/>
            </w:tcBorders>
          </w:tcPr>
          <w:p w:rsidR="004C1FA6" w:rsidRDefault="00CE022F">
            <w:pPr>
              <w:pStyle w:val="Normale1"/>
            </w:pPr>
            <w:r>
              <w:rPr>
                <w:rFonts w:ascii="Calibri" w:eastAsia="Calibri" w:hAnsi="Calibri" w:cs="Calibri"/>
                <w:sz w:val="16"/>
                <w:szCs w:val="16"/>
              </w:rPr>
              <w:t> </w:t>
            </w: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C1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PT</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 BRAGANC01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INSTITUTO POLITÉCNICO DE BRAGANÇA</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PORTOGALLO</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5</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1</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Portugue</w:t>
            </w:r>
            <w:proofErr w:type="spellEnd"/>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sz w:val="16"/>
                <w:szCs w:val="16"/>
              </w:rPr>
              <w:t>se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PT</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 COIMBRA01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UNIVERSIDADE DE COIMBRA</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PORTOGALLO</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1</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2</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Portugue</w:t>
            </w:r>
            <w:proofErr w:type="spellEnd"/>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sz w:val="16"/>
                <w:szCs w:val="16"/>
              </w:rPr>
              <w:t>se  A2/B1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A2/B1</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PT</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P COVILHA01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UNIVERSIDADE DA BEIRA INTERIOR</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PORTOGALLO</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1, 2, 3</w:t>
            </w:r>
          </w:p>
        </w:tc>
        <w:tc>
          <w:tcPr>
            <w:tcW w:w="1275"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Portoguese</w:t>
            </w:r>
            <w:proofErr w:type="spellEnd"/>
            <w:r>
              <w:rPr>
                <w:sz w:val="16"/>
                <w:szCs w:val="16"/>
              </w:rPr>
              <w:t xml:space="preserve"> 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PT</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 LISBOA109</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UNIVERSIDADE DE LISBOA</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PORTOGALLO</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Portugue</w:t>
            </w:r>
            <w:proofErr w:type="spellEnd"/>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se  B1</w:t>
            </w:r>
          </w:p>
        </w:tc>
      </w:tr>
      <w:tr w:rsidR="004C1FA6">
        <w:trPr>
          <w:trHeight w:val="76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PT</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P PORTO05</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INSTITUTO POLITECNICO DO PORTO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711</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Chemical</w:t>
            </w:r>
            <w:proofErr w:type="spellEnd"/>
            <w:r>
              <w:rPr>
                <w:sz w:val="16"/>
                <w:szCs w:val="16"/>
              </w:rPr>
              <w:t xml:space="preserve"> </w:t>
            </w:r>
            <w:proofErr w:type="spellStart"/>
            <w:r>
              <w:rPr>
                <w:sz w:val="16"/>
                <w:szCs w:val="16"/>
              </w:rPr>
              <w:t>engineering</w:t>
            </w:r>
            <w:proofErr w:type="spellEnd"/>
            <w:r>
              <w:rPr>
                <w:sz w:val="16"/>
                <w:szCs w:val="16"/>
              </w:rPr>
              <w:t xml:space="preserve"> and </w:t>
            </w:r>
            <w:proofErr w:type="spellStart"/>
            <w:r>
              <w:rPr>
                <w:sz w:val="16"/>
                <w:szCs w:val="16"/>
              </w:rPr>
              <w:t>processes</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PORTOGALLO</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Portuguese</w:t>
            </w:r>
            <w:proofErr w:type="spellEnd"/>
            <w:r>
              <w:rPr>
                <w:sz w:val="16"/>
                <w:szCs w:val="16"/>
              </w:rPr>
              <w:t>/English B1</w:t>
            </w:r>
          </w:p>
        </w:tc>
      </w:tr>
      <w:tr w:rsidR="004C1FA6">
        <w:trPr>
          <w:trHeight w:val="76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PT</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P PORTO05</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INSTITUTO POLITECNICO DO PORTO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pPr>
            <w:r>
              <w:rPr>
                <w:sz w:val="16"/>
                <w:szCs w:val="16"/>
              </w:rPr>
              <w:t>0916 (0)</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PORTOGALLO</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Portuguese</w:t>
            </w:r>
            <w:proofErr w:type="spellEnd"/>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PT</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 PORTO02</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UNIVERSIDADE DO PORTO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PORTOGALLO</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Portugue</w:t>
            </w:r>
            <w:proofErr w:type="spellEnd"/>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se  B2</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PL</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PL SZCZECI01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UNIWERSYTET SZCZECINSKI</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BABILONI</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FABIO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Health</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POLONIA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4</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5</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3</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Polish</w:t>
            </w:r>
            <w:proofErr w:type="spellEnd"/>
            <w:r>
              <w:rPr>
                <w:sz w:val="16"/>
                <w:szCs w:val="16"/>
              </w:rPr>
              <w:t xml:space="preserve"> B2</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sz w:val="16"/>
                <w:szCs w:val="16"/>
              </w:rPr>
              <w:t>GermanB1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PL</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PL WROCLAW05</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AKADEMIA MEDYCZNA IM PIASTOW SLASKICH</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POLONIA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5</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1, 2, 3</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Polish</w:t>
            </w:r>
            <w:proofErr w:type="spellEnd"/>
            <w:r>
              <w:rPr>
                <w:sz w:val="16"/>
                <w:szCs w:val="16"/>
              </w:rPr>
              <w:t xml:space="preserve">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sz w:val="16"/>
                <w:szCs w:val="16"/>
              </w:rPr>
              <w:t> </w:t>
            </w:r>
          </w:p>
        </w:tc>
      </w:tr>
      <w:tr w:rsidR="00667606">
        <w:trPr>
          <w:trHeight w:val="240"/>
        </w:trPr>
        <w:tc>
          <w:tcPr>
            <w:tcW w:w="615" w:type="dxa"/>
            <w:vMerge/>
            <w:tcBorders>
              <w:top w:val="nil"/>
              <w:left w:val="single" w:sz="4" w:space="0" w:color="000000"/>
              <w:bottom w:val="single" w:sz="4" w:space="0" w:color="000000"/>
              <w:right w:val="single" w:sz="4" w:space="0" w:color="000000"/>
            </w:tcBorders>
          </w:tcPr>
          <w:p w:rsidR="00667606" w:rsidRDefault="0066760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667606" w:rsidRDefault="0066760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667606" w:rsidRDefault="0066760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667606" w:rsidRDefault="0066760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667606" w:rsidRDefault="0066760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667606" w:rsidRDefault="0066760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667606" w:rsidRDefault="0066760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667606" w:rsidRDefault="0066760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667606" w:rsidRDefault="0066760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667606" w:rsidRDefault="0066760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667606" w:rsidRDefault="00667606">
            <w:pPr>
              <w:pStyle w:val="Normale1"/>
            </w:pPr>
          </w:p>
        </w:tc>
        <w:tc>
          <w:tcPr>
            <w:tcW w:w="1275" w:type="dxa"/>
            <w:tcBorders>
              <w:top w:val="nil"/>
              <w:left w:val="nil"/>
              <w:bottom w:val="nil"/>
              <w:right w:val="single" w:sz="4" w:space="0" w:color="000000"/>
            </w:tcBorders>
          </w:tcPr>
          <w:p w:rsidR="00667606" w:rsidRDefault="00667606">
            <w:pPr>
              <w:pStyle w:val="Normale1"/>
              <w:rPr>
                <w:sz w:val="16"/>
                <w:szCs w:val="16"/>
              </w:rPr>
            </w:pP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lastRenderedPageBreak/>
              <w:t>FI</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SF KUOPIO12</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UNIVERSITY OF EASTERN FINLAND</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DE BIASE</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DANIELA</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512</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Biochemistry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FINLANDIA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10</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2, 3</w:t>
            </w:r>
          </w:p>
        </w:tc>
        <w:tc>
          <w:tcPr>
            <w:tcW w:w="1275" w:type="dxa"/>
            <w:tcBorders>
              <w:top w:val="nil"/>
              <w:left w:val="nil"/>
              <w:bottom w:val="nil"/>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Finnish</w:t>
            </w:r>
            <w:proofErr w:type="spellEnd"/>
            <w:r>
              <w:rPr>
                <w:sz w:val="16"/>
                <w:szCs w:val="16"/>
              </w:rPr>
              <w:t xml:space="preserve">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SI</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SI LJUBLJA01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UNIVERZA V LJUBLJANI</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SLOVENIA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r>
              <w:rPr>
                <w:sz w:val="16"/>
                <w:szCs w:val="16"/>
              </w:rPr>
              <w:t>Slovene B2</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B2</w:t>
            </w:r>
          </w:p>
        </w:tc>
      </w:tr>
      <w:tr w:rsidR="004C1FA6">
        <w:trPr>
          <w:trHeight w:val="240"/>
        </w:trPr>
        <w:tc>
          <w:tcPr>
            <w:tcW w:w="615" w:type="dxa"/>
            <w:vMerge w:val="restart"/>
            <w:tcBorders>
              <w:top w:val="single" w:sz="4" w:space="0" w:color="000000"/>
              <w:left w:val="single" w:sz="4" w:space="0" w:color="000000"/>
              <w:bottom w:val="single" w:sz="4" w:space="0" w:color="000000"/>
              <w:right w:val="single" w:sz="4" w:space="0" w:color="000000"/>
            </w:tcBorders>
          </w:tcPr>
          <w:p w:rsidR="004C1FA6" w:rsidRDefault="00CE022F">
            <w:pPr>
              <w:pStyle w:val="Normale1"/>
            </w:pPr>
            <w:r>
              <w:rPr>
                <w:sz w:val="16"/>
                <w:szCs w:val="16"/>
              </w:rPr>
              <w:t>TR</w:t>
            </w:r>
          </w:p>
        </w:tc>
        <w:tc>
          <w:tcPr>
            <w:tcW w:w="1277" w:type="dxa"/>
            <w:vMerge w:val="restart"/>
            <w:tcBorders>
              <w:top w:val="single" w:sz="4" w:space="0" w:color="000000"/>
              <w:left w:val="single" w:sz="4" w:space="0" w:color="000000"/>
              <w:bottom w:val="single" w:sz="4" w:space="0" w:color="000000"/>
              <w:right w:val="single" w:sz="4" w:space="0" w:color="000000"/>
            </w:tcBorders>
          </w:tcPr>
          <w:p w:rsidR="004C1FA6" w:rsidRDefault="00CE022F">
            <w:pPr>
              <w:pStyle w:val="Normale1"/>
            </w:pPr>
            <w:r>
              <w:rPr>
                <w:sz w:val="16"/>
                <w:szCs w:val="16"/>
              </w:rPr>
              <w:t>TR ANKARA01</w:t>
            </w:r>
          </w:p>
        </w:tc>
        <w:tc>
          <w:tcPr>
            <w:tcW w:w="1276" w:type="dxa"/>
            <w:vMerge w:val="restart"/>
            <w:tcBorders>
              <w:top w:val="single" w:sz="4" w:space="0" w:color="000000"/>
              <w:left w:val="single" w:sz="4" w:space="0" w:color="000000"/>
              <w:bottom w:val="single" w:sz="4" w:space="0" w:color="000000"/>
              <w:right w:val="single" w:sz="4" w:space="0" w:color="000000"/>
            </w:tcBorders>
          </w:tcPr>
          <w:p w:rsidR="004C1FA6" w:rsidRDefault="00CE022F">
            <w:pPr>
              <w:pStyle w:val="Normale1"/>
            </w:pPr>
            <w:r>
              <w:rPr>
                <w:sz w:val="16"/>
                <w:szCs w:val="16"/>
              </w:rPr>
              <w:t>ANKARA UNIVERSITESI</w:t>
            </w:r>
          </w:p>
        </w:tc>
        <w:tc>
          <w:tcPr>
            <w:tcW w:w="947" w:type="dxa"/>
            <w:vMerge w:val="restart"/>
            <w:tcBorders>
              <w:top w:val="single" w:sz="4" w:space="0" w:color="000000"/>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single" w:sz="4" w:space="0" w:color="000000"/>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single" w:sz="4" w:space="0" w:color="000000"/>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single" w:sz="4" w:space="0" w:color="000000"/>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single" w:sz="4" w:space="0" w:color="000000"/>
              <w:left w:val="single" w:sz="4" w:space="0" w:color="000000"/>
              <w:bottom w:val="single" w:sz="4" w:space="0" w:color="000000"/>
              <w:right w:val="single" w:sz="4" w:space="0" w:color="000000"/>
            </w:tcBorders>
          </w:tcPr>
          <w:p w:rsidR="004C1FA6" w:rsidRDefault="00CE022F">
            <w:pPr>
              <w:pStyle w:val="Normale1"/>
            </w:pPr>
            <w:r>
              <w:rPr>
                <w:sz w:val="16"/>
                <w:szCs w:val="16"/>
              </w:rPr>
              <w:t>TURCHIA</w:t>
            </w:r>
          </w:p>
        </w:tc>
        <w:tc>
          <w:tcPr>
            <w:tcW w:w="668" w:type="dxa"/>
            <w:vMerge w:val="restart"/>
            <w:tcBorders>
              <w:top w:val="single" w:sz="4" w:space="0" w:color="000000"/>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single" w:sz="4" w:space="0" w:color="000000"/>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single" w:sz="4" w:space="0" w:color="000000"/>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single" w:sz="4" w:space="0" w:color="000000"/>
              <w:left w:val="nil"/>
              <w:bottom w:val="nil"/>
              <w:right w:val="single" w:sz="4" w:space="0" w:color="000000"/>
            </w:tcBorders>
          </w:tcPr>
          <w:p w:rsidR="004C1FA6" w:rsidRDefault="00CE022F">
            <w:pPr>
              <w:pStyle w:val="Normale1"/>
            </w:pPr>
            <w:proofErr w:type="spellStart"/>
            <w:r>
              <w:rPr>
                <w:sz w:val="16"/>
                <w:szCs w:val="16"/>
              </w:rPr>
              <w:t>Turkish</w:t>
            </w:r>
            <w:proofErr w:type="spellEnd"/>
            <w:r>
              <w:rPr>
                <w:sz w:val="16"/>
                <w:szCs w:val="16"/>
              </w:rPr>
              <w:t xml:space="preserve"> B1</w:t>
            </w:r>
          </w:p>
        </w:tc>
      </w:tr>
      <w:tr w:rsidR="004C1FA6">
        <w:trPr>
          <w:trHeight w:val="240"/>
        </w:trPr>
        <w:tc>
          <w:tcPr>
            <w:tcW w:w="615" w:type="dxa"/>
            <w:vMerge/>
            <w:tcBorders>
              <w:top w:val="single" w:sz="4" w:space="0" w:color="000000"/>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single" w:sz="4" w:space="0" w:color="000000"/>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single" w:sz="4" w:space="0" w:color="000000"/>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single" w:sz="4" w:space="0" w:color="000000"/>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single" w:sz="4" w:space="0" w:color="000000"/>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single" w:sz="4" w:space="0" w:color="000000"/>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single" w:sz="4" w:space="0" w:color="000000"/>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single" w:sz="4" w:space="0" w:color="000000"/>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single" w:sz="4" w:space="0" w:color="000000"/>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single" w:sz="4" w:space="0" w:color="000000"/>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single" w:sz="4" w:space="0" w:color="000000"/>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TR</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TR ANKARA03</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HACETTEPE ÜNIVERSITESI</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TURCHIA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10</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Turkish</w:t>
            </w:r>
            <w:proofErr w:type="spellEnd"/>
            <w:r>
              <w:rPr>
                <w:sz w:val="16"/>
                <w:szCs w:val="16"/>
              </w:rPr>
              <w:t xml:space="preserve"> A2</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TR</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TR ISTANBU19</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ISTANBUL KULTUR UNIVERSITESI</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AGOSTINELLI</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ENZO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51</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Biological</w:t>
            </w:r>
            <w:proofErr w:type="spellEnd"/>
            <w:r>
              <w:rPr>
                <w:sz w:val="16"/>
                <w:szCs w:val="16"/>
              </w:rPr>
              <w:t xml:space="preserve"> and </w:t>
            </w:r>
            <w:proofErr w:type="spellStart"/>
            <w:r>
              <w:rPr>
                <w:sz w:val="16"/>
                <w:szCs w:val="16"/>
              </w:rPr>
              <w:t>related</w:t>
            </w:r>
            <w:proofErr w:type="spellEnd"/>
            <w:r>
              <w:rPr>
                <w:sz w:val="16"/>
                <w:szCs w:val="16"/>
              </w:rPr>
              <w:t xml:space="preserve"> </w:t>
            </w:r>
            <w:proofErr w:type="spellStart"/>
            <w:r>
              <w:rPr>
                <w:sz w:val="16"/>
                <w:szCs w:val="16"/>
              </w:rPr>
              <w:t>sciences</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TURCHIA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5</w:t>
            </w:r>
          </w:p>
        </w:tc>
        <w:tc>
          <w:tcPr>
            <w:tcW w:w="709" w:type="dxa"/>
            <w:tcBorders>
              <w:top w:val="nil"/>
              <w:left w:val="nil"/>
              <w:bottom w:val="single" w:sz="4" w:space="0" w:color="000000"/>
              <w:right w:val="single" w:sz="4" w:space="0" w:color="000000"/>
            </w:tcBorders>
          </w:tcPr>
          <w:p w:rsidR="004C1FA6" w:rsidRDefault="00CE022F">
            <w:pPr>
              <w:pStyle w:val="Normale1"/>
              <w:jc w:val="right"/>
            </w:pPr>
            <w:r>
              <w:rPr>
                <w:sz w:val="16"/>
                <w:szCs w:val="16"/>
              </w:rPr>
              <w:t>1</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B2</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TR</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TR ISTANBU 21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YEDITEPE UNIVERSITY</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TURCHIA</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10</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1,2,3,</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TR</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TR ISTANBU40</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BEZMIALEM VAKIF UNIVERSITY</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TURCHIA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5</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1, 2, 3</w:t>
            </w:r>
          </w:p>
        </w:tc>
        <w:tc>
          <w:tcPr>
            <w:tcW w:w="1275" w:type="dxa"/>
            <w:tcBorders>
              <w:top w:val="nil"/>
              <w:left w:val="nil"/>
              <w:bottom w:val="nil"/>
              <w:right w:val="single" w:sz="4" w:space="0" w:color="000000"/>
            </w:tcBorders>
          </w:tcPr>
          <w:p w:rsidR="004C1FA6" w:rsidRDefault="00CE022F">
            <w:pPr>
              <w:pStyle w:val="Normale1"/>
            </w:pPr>
            <w:proofErr w:type="spellStart"/>
            <w:r>
              <w:rPr>
                <w:sz w:val="16"/>
                <w:szCs w:val="16"/>
              </w:rPr>
              <w:t>Turkish</w:t>
            </w:r>
            <w:proofErr w:type="spellEnd"/>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nil"/>
              <w:right w:val="single" w:sz="4" w:space="0" w:color="000000"/>
            </w:tcBorders>
          </w:tcPr>
          <w:p w:rsidR="004C1FA6" w:rsidRDefault="00CE022F">
            <w:pPr>
              <w:pStyle w:val="Normale1"/>
            </w:pPr>
            <w:r>
              <w:rPr>
                <w:rFonts w:ascii="Calibri" w:eastAsia="Calibri" w:hAnsi="Calibri" w:cs="Calibri"/>
                <w:sz w:val="16"/>
                <w:szCs w:val="16"/>
              </w:rPr>
              <w:t> </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TR</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TR IZMIR01</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DOKUZ EYLUL UNIVERSITESI</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TURCHIA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3</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Turkish</w:t>
            </w:r>
            <w:proofErr w:type="spellEnd"/>
            <w:r>
              <w:rPr>
                <w:sz w:val="16"/>
                <w:szCs w:val="16"/>
              </w:rPr>
              <w:t xml:space="preserve"> B1</w:t>
            </w:r>
          </w:p>
        </w:tc>
      </w:tr>
      <w:tr w:rsidR="004C1FA6">
        <w:trPr>
          <w:trHeight w:val="240"/>
        </w:trPr>
        <w:tc>
          <w:tcPr>
            <w:tcW w:w="615"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TR</w:t>
            </w:r>
          </w:p>
        </w:tc>
        <w:tc>
          <w:tcPr>
            <w:tcW w:w="127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TR IZMIR02</w:t>
            </w:r>
          </w:p>
        </w:tc>
        <w:tc>
          <w:tcPr>
            <w:tcW w:w="1276"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EGE UNIVERSITY</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SASO</w:t>
            </w:r>
          </w:p>
        </w:tc>
        <w:tc>
          <w:tcPr>
            <w:tcW w:w="947"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LUCIANO</w:t>
            </w:r>
          </w:p>
        </w:tc>
        <w:tc>
          <w:tcPr>
            <w:tcW w:w="65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916</w:t>
            </w:r>
          </w:p>
        </w:tc>
        <w:tc>
          <w:tcPr>
            <w:tcW w:w="851" w:type="dxa"/>
            <w:vMerge w:val="restart"/>
            <w:tcBorders>
              <w:top w:val="nil"/>
              <w:left w:val="single" w:sz="4" w:space="0" w:color="000000"/>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TURCHIA</w:t>
            </w:r>
          </w:p>
        </w:tc>
        <w:tc>
          <w:tcPr>
            <w:tcW w:w="668" w:type="dxa"/>
            <w:vMerge w:val="restart"/>
            <w:tcBorders>
              <w:top w:val="nil"/>
              <w:left w:val="single" w:sz="4" w:space="0" w:color="000000"/>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vMerge w:val="restart"/>
            <w:tcBorders>
              <w:top w:val="nil"/>
              <w:left w:val="single" w:sz="4" w:space="0" w:color="000000"/>
              <w:bottom w:val="single" w:sz="4" w:space="0" w:color="000000"/>
              <w:right w:val="single" w:sz="4" w:space="0" w:color="000000"/>
            </w:tcBorders>
          </w:tcPr>
          <w:p w:rsidR="004C1FA6" w:rsidRDefault="00CE022F">
            <w:pPr>
              <w:pStyle w:val="Normale1"/>
              <w:jc w:val="right"/>
            </w:pPr>
            <w:r>
              <w:rPr>
                <w:sz w:val="16"/>
                <w:szCs w:val="16"/>
              </w:rPr>
              <w:t>6</w:t>
            </w:r>
          </w:p>
        </w:tc>
        <w:tc>
          <w:tcPr>
            <w:tcW w:w="709" w:type="dxa"/>
            <w:vMerge w:val="restart"/>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1, 2</w:t>
            </w:r>
          </w:p>
        </w:tc>
        <w:tc>
          <w:tcPr>
            <w:tcW w:w="1275" w:type="dxa"/>
            <w:tcBorders>
              <w:top w:val="nil"/>
              <w:left w:val="nil"/>
              <w:bottom w:val="nil"/>
              <w:right w:val="single" w:sz="4" w:space="0" w:color="000000"/>
            </w:tcBorders>
          </w:tcPr>
          <w:p w:rsidR="004C1FA6" w:rsidRDefault="00CE022F">
            <w:pPr>
              <w:pStyle w:val="Normale1"/>
            </w:pPr>
            <w:r>
              <w:rPr>
                <w:sz w:val="16"/>
                <w:szCs w:val="16"/>
              </w:rPr>
              <w:t>English B1</w:t>
            </w:r>
          </w:p>
        </w:tc>
      </w:tr>
      <w:tr w:rsidR="004C1FA6">
        <w:trPr>
          <w:trHeight w:val="240"/>
        </w:trPr>
        <w:tc>
          <w:tcPr>
            <w:tcW w:w="615"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1276"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94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5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5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891"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668" w:type="dxa"/>
            <w:vMerge/>
            <w:tcBorders>
              <w:top w:val="nil"/>
              <w:left w:val="single" w:sz="4" w:space="0" w:color="000000"/>
              <w:bottom w:val="single" w:sz="4" w:space="0" w:color="000000"/>
              <w:right w:val="single" w:sz="4" w:space="0" w:color="000000"/>
            </w:tcBorders>
            <w:vAlign w:val="center"/>
          </w:tcPr>
          <w:p w:rsidR="004C1FA6" w:rsidRDefault="004C1FA6">
            <w:pPr>
              <w:pStyle w:val="Normale1"/>
              <w:spacing w:line="276" w:lineRule="auto"/>
            </w:pPr>
          </w:p>
        </w:tc>
        <w:tc>
          <w:tcPr>
            <w:tcW w:w="727" w:type="dxa"/>
            <w:vMerge/>
            <w:tcBorders>
              <w:top w:val="nil"/>
              <w:left w:val="single" w:sz="4" w:space="0" w:color="000000"/>
              <w:bottom w:val="single" w:sz="4" w:space="0" w:color="000000"/>
              <w:right w:val="single" w:sz="4" w:space="0" w:color="000000"/>
            </w:tcBorders>
          </w:tcPr>
          <w:p w:rsidR="004C1FA6" w:rsidRDefault="004C1FA6">
            <w:pPr>
              <w:pStyle w:val="Normale1"/>
              <w:spacing w:line="276" w:lineRule="auto"/>
            </w:pPr>
          </w:p>
        </w:tc>
        <w:tc>
          <w:tcPr>
            <w:tcW w:w="709" w:type="dxa"/>
            <w:vMerge/>
            <w:tcBorders>
              <w:top w:val="nil"/>
              <w:left w:val="single" w:sz="4" w:space="0" w:color="000000"/>
              <w:bottom w:val="single" w:sz="4" w:space="0" w:color="000000"/>
              <w:right w:val="single" w:sz="4" w:space="0" w:color="000000"/>
            </w:tcBorders>
          </w:tcPr>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p w:rsidR="004C1FA6" w:rsidRDefault="004C1FA6">
            <w:pPr>
              <w:pStyle w:val="Normale1"/>
            </w:pPr>
          </w:p>
        </w:tc>
        <w:tc>
          <w:tcPr>
            <w:tcW w:w="1275"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Turkish</w:t>
            </w:r>
            <w:proofErr w:type="spellEnd"/>
            <w:r>
              <w:rPr>
                <w:sz w:val="16"/>
                <w:szCs w:val="16"/>
              </w:rPr>
              <w:t xml:space="preserve"> B1</w:t>
            </w:r>
          </w:p>
        </w:tc>
      </w:tr>
      <w:tr w:rsidR="004C1FA6">
        <w:trPr>
          <w:trHeight w:val="50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UK</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UK GUILDFO01</w:t>
            </w:r>
          </w:p>
        </w:tc>
        <w:tc>
          <w:tcPr>
            <w:tcW w:w="1276" w:type="dxa"/>
            <w:tcBorders>
              <w:top w:val="nil"/>
              <w:left w:val="nil"/>
              <w:bottom w:val="single" w:sz="4" w:space="0" w:color="000000"/>
              <w:right w:val="single" w:sz="4" w:space="0" w:color="000000"/>
            </w:tcBorders>
          </w:tcPr>
          <w:p w:rsidR="004C1FA6" w:rsidRDefault="00CE022F">
            <w:pPr>
              <w:pStyle w:val="Normale1"/>
            </w:pPr>
            <w:r>
              <w:rPr>
                <w:sz w:val="16"/>
                <w:szCs w:val="16"/>
              </w:rPr>
              <w:t>UNIVERSITY OF SURREY</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REGNO UNITO</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1</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10</w:t>
            </w:r>
          </w:p>
        </w:tc>
        <w:tc>
          <w:tcPr>
            <w:tcW w:w="709" w:type="dxa"/>
            <w:tcBorders>
              <w:top w:val="nil"/>
              <w:left w:val="nil"/>
              <w:bottom w:val="single" w:sz="4" w:space="0" w:color="000000"/>
              <w:right w:val="single" w:sz="4" w:space="0" w:color="000000"/>
            </w:tcBorders>
          </w:tcPr>
          <w:p w:rsidR="004C1FA6" w:rsidRDefault="00CE022F">
            <w:pPr>
              <w:pStyle w:val="Normale1"/>
              <w:jc w:val="right"/>
            </w:pPr>
            <w:r>
              <w:rPr>
                <w:sz w:val="16"/>
                <w:szCs w:val="16"/>
              </w:rPr>
              <w:t>1</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B2/C1</w:t>
            </w:r>
          </w:p>
        </w:tc>
      </w:tr>
      <w:tr w:rsidR="004C1FA6">
        <w:trPr>
          <w:trHeight w:val="760"/>
        </w:trPr>
        <w:tc>
          <w:tcPr>
            <w:tcW w:w="615" w:type="dxa"/>
            <w:tcBorders>
              <w:top w:val="nil"/>
              <w:left w:val="single" w:sz="4" w:space="0" w:color="000000"/>
              <w:bottom w:val="single" w:sz="4" w:space="0" w:color="000000"/>
              <w:right w:val="single" w:sz="4" w:space="0" w:color="000000"/>
            </w:tcBorders>
          </w:tcPr>
          <w:p w:rsidR="004C1FA6" w:rsidRDefault="00CE022F">
            <w:pPr>
              <w:pStyle w:val="Normale1"/>
            </w:pPr>
            <w:r>
              <w:rPr>
                <w:sz w:val="16"/>
                <w:szCs w:val="16"/>
              </w:rPr>
              <w:t>UK</w:t>
            </w:r>
          </w:p>
        </w:tc>
        <w:tc>
          <w:tcPr>
            <w:tcW w:w="1277" w:type="dxa"/>
            <w:tcBorders>
              <w:top w:val="nil"/>
              <w:left w:val="nil"/>
              <w:bottom w:val="single" w:sz="4" w:space="0" w:color="000000"/>
              <w:right w:val="single" w:sz="4" w:space="0" w:color="000000"/>
            </w:tcBorders>
          </w:tcPr>
          <w:p w:rsidR="004C1FA6" w:rsidRDefault="00CE022F">
            <w:pPr>
              <w:pStyle w:val="Normale1"/>
            </w:pPr>
            <w:r>
              <w:rPr>
                <w:sz w:val="16"/>
                <w:szCs w:val="16"/>
              </w:rPr>
              <w:t>UK LONDON017</w:t>
            </w:r>
          </w:p>
        </w:tc>
        <w:tc>
          <w:tcPr>
            <w:tcW w:w="1276" w:type="dxa"/>
            <w:tcBorders>
              <w:top w:val="nil"/>
              <w:left w:val="nil"/>
              <w:bottom w:val="single" w:sz="4" w:space="0" w:color="000000"/>
              <w:right w:val="single" w:sz="4" w:space="0" w:color="000000"/>
            </w:tcBorders>
          </w:tcPr>
          <w:p w:rsidR="004C1FA6" w:rsidRPr="00116139" w:rsidRDefault="00CE022F">
            <w:pPr>
              <w:pStyle w:val="Normale1"/>
              <w:rPr>
                <w:lang w:val="en-US"/>
              </w:rPr>
            </w:pPr>
            <w:r w:rsidRPr="00116139">
              <w:rPr>
                <w:sz w:val="16"/>
                <w:szCs w:val="16"/>
                <w:lang w:val="en-US"/>
              </w:rPr>
              <w:t>KING`S COLLEGE - UNIVERSITY OF LONDON</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SASO</w:t>
            </w:r>
          </w:p>
        </w:tc>
        <w:tc>
          <w:tcPr>
            <w:tcW w:w="947" w:type="dxa"/>
            <w:tcBorders>
              <w:top w:val="nil"/>
              <w:left w:val="nil"/>
              <w:bottom w:val="single" w:sz="4" w:space="0" w:color="000000"/>
              <w:right w:val="single" w:sz="4" w:space="0" w:color="000000"/>
            </w:tcBorders>
          </w:tcPr>
          <w:p w:rsidR="004C1FA6" w:rsidRDefault="00CE022F">
            <w:pPr>
              <w:pStyle w:val="Normale1"/>
            </w:pPr>
            <w:r>
              <w:rPr>
                <w:sz w:val="16"/>
                <w:szCs w:val="16"/>
              </w:rPr>
              <w:t>LUCIANO</w:t>
            </w:r>
          </w:p>
        </w:tc>
        <w:tc>
          <w:tcPr>
            <w:tcW w:w="657" w:type="dxa"/>
            <w:tcBorders>
              <w:top w:val="nil"/>
              <w:left w:val="nil"/>
              <w:bottom w:val="single" w:sz="4" w:space="0" w:color="000000"/>
              <w:right w:val="single" w:sz="4" w:space="0" w:color="000000"/>
            </w:tcBorders>
          </w:tcPr>
          <w:p w:rsidR="004C1FA6" w:rsidRDefault="00CE022F">
            <w:pPr>
              <w:pStyle w:val="Normale1"/>
              <w:jc w:val="right"/>
            </w:pPr>
            <w:r>
              <w:rPr>
                <w:sz w:val="16"/>
                <w:szCs w:val="16"/>
              </w:rPr>
              <w:t>916</w:t>
            </w:r>
          </w:p>
        </w:tc>
        <w:tc>
          <w:tcPr>
            <w:tcW w:w="851" w:type="dxa"/>
            <w:tcBorders>
              <w:top w:val="nil"/>
              <w:left w:val="nil"/>
              <w:bottom w:val="single" w:sz="4" w:space="0" w:color="000000"/>
              <w:right w:val="single" w:sz="4" w:space="0" w:color="000000"/>
            </w:tcBorders>
          </w:tcPr>
          <w:p w:rsidR="004C1FA6" w:rsidRDefault="00CE022F">
            <w:pPr>
              <w:pStyle w:val="Normale1"/>
            </w:pPr>
            <w:proofErr w:type="spellStart"/>
            <w:r>
              <w:rPr>
                <w:sz w:val="16"/>
                <w:szCs w:val="16"/>
              </w:rPr>
              <w:t>Pharmacy</w:t>
            </w:r>
            <w:proofErr w:type="spellEnd"/>
          </w:p>
        </w:tc>
        <w:tc>
          <w:tcPr>
            <w:tcW w:w="891" w:type="dxa"/>
            <w:tcBorders>
              <w:top w:val="nil"/>
              <w:left w:val="nil"/>
              <w:bottom w:val="single" w:sz="4" w:space="0" w:color="000000"/>
              <w:right w:val="single" w:sz="4" w:space="0" w:color="000000"/>
            </w:tcBorders>
          </w:tcPr>
          <w:p w:rsidR="004C1FA6" w:rsidRDefault="00CE022F">
            <w:pPr>
              <w:pStyle w:val="Normale1"/>
            </w:pPr>
            <w:r>
              <w:rPr>
                <w:sz w:val="16"/>
                <w:szCs w:val="16"/>
              </w:rPr>
              <w:t>REGNO UNITO</w:t>
            </w:r>
          </w:p>
        </w:tc>
        <w:tc>
          <w:tcPr>
            <w:tcW w:w="668" w:type="dxa"/>
            <w:tcBorders>
              <w:top w:val="nil"/>
              <w:left w:val="nil"/>
              <w:bottom w:val="single" w:sz="4" w:space="0" w:color="000000"/>
              <w:right w:val="single" w:sz="4" w:space="0" w:color="000000"/>
            </w:tcBorders>
            <w:vAlign w:val="center"/>
          </w:tcPr>
          <w:p w:rsidR="004C1FA6" w:rsidRDefault="00CE022F">
            <w:pPr>
              <w:pStyle w:val="Normale1"/>
              <w:jc w:val="right"/>
            </w:pPr>
            <w:r>
              <w:rPr>
                <w:sz w:val="16"/>
                <w:szCs w:val="16"/>
              </w:rPr>
              <w:t>2</w:t>
            </w:r>
          </w:p>
        </w:tc>
        <w:tc>
          <w:tcPr>
            <w:tcW w:w="727" w:type="dxa"/>
            <w:tcBorders>
              <w:top w:val="nil"/>
              <w:left w:val="nil"/>
              <w:bottom w:val="single" w:sz="4" w:space="0" w:color="000000"/>
              <w:right w:val="single" w:sz="4" w:space="0" w:color="000000"/>
            </w:tcBorders>
          </w:tcPr>
          <w:p w:rsidR="004C1FA6" w:rsidRDefault="00CE022F">
            <w:pPr>
              <w:pStyle w:val="Normale1"/>
              <w:jc w:val="right"/>
            </w:pPr>
            <w:r>
              <w:rPr>
                <w:sz w:val="16"/>
                <w:szCs w:val="16"/>
              </w:rPr>
              <w:t>6</w:t>
            </w:r>
          </w:p>
        </w:tc>
        <w:tc>
          <w:tcPr>
            <w:tcW w:w="709" w:type="dxa"/>
            <w:tcBorders>
              <w:top w:val="nil"/>
              <w:left w:val="nil"/>
              <w:bottom w:val="single" w:sz="4" w:space="0" w:color="000000"/>
              <w:right w:val="single" w:sz="4" w:space="0" w:color="000000"/>
            </w:tcBorders>
          </w:tcPr>
          <w:p w:rsidR="004C1FA6" w:rsidRDefault="00CE022F">
            <w:pPr>
              <w:pStyle w:val="Normale1"/>
            </w:pPr>
            <w:r>
              <w:rPr>
                <w:sz w:val="16"/>
                <w:szCs w:val="16"/>
              </w:rPr>
              <w:t>1, 3</w:t>
            </w:r>
          </w:p>
        </w:tc>
        <w:tc>
          <w:tcPr>
            <w:tcW w:w="1275" w:type="dxa"/>
            <w:tcBorders>
              <w:top w:val="nil"/>
              <w:left w:val="nil"/>
              <w:bottom w:val="single" w:sz="4" w:space="0" w:color="000000"/>
              <w:right w:val="single" w:sz="4" w:space="0" w:color="000000"/>
            </w:tcBorders>
          </w:tcPr>
          <w:p w:rsidR="004C1FA6" w:rsidRDefault="00CE022F">
            <w:pPr>
              <w:pStyle w:val="Normale1"/>
            </w:pPr>
            <w:r>
              <w:rPr>
                <w:sz w:val="16"/>
                <w:szCs w:val="16"/>
              </w:rPr>
              <w:t>English B2</w:t>
            </w:r>
          </w:p>
        </w:tc>
      </w:tr>
    </w:tbl>
    <w:p w:rsidR="004C1FA6" w:rsidRDefault="004C1FA6" w:rsidP="00667606">
      <w:pPr>
        <w:pStyle w:val="Normale1"/>
        <w:jc w:val="both"/>
      </w:pPr>
    </w:p>
    <w:p w:rsidR="004C1FA6" w:rsidRDefault="004C1FA6">
      <w:pPr>
        <w:pStyle w:val="Normale1"/>
        <w:ind w:left="284"/>
        <w:jc w:val="both"/>
      </w:pPr>
    </w:p>
    <w:p w:rsidR="004C1FA6" w:rsidRDefault="00CE022F">
      <w:pPr>
        <w:pStyle w:val="Normale1"/>
        <w:ind w:left="284"/>
        <w:jc w:val="both"/>
      </w:pPr>
      <w:r>
        <w:rPr>
          <w:rFonts w:ascii="Arial" w:eastAsia="Arial" w:hAnsi="Arial" w:cs="Arial"/>
          <w:b/>
        </w:rPr>
        <w:t>4. PRESENTAZIONE DELLA DOMANDA</w:t>
      </w:r>
      <w:r>
        <w:rPr>
          <w:rFonts w:ascii="Arial" w:eastAsia="Arial" w:hAnsi="Arial" w:cs="Arial"/>
        </w:rPr>
        <w:t> </w:t>
      </w:r>
    </w:p>
    <w:p w:rsidR="004C1FA6" w:rsidRDefault="004C1FA6">
      <w:pPr>
        <w:pStyle w:val="Normale1"/>
        <w:ind w:left="284"/>
        <w:jc w:val="both"/>
      </w:pPr>
    </w:p>
    <w:p w:rsidR="004C1FA6" w:rsidRDefault="00CE022F">
      <w:pPr>
        <w:pStyle w:val="Normale1"/>
        <w:spacing w:before="100" w:after="100"/>
        <w:ind w:left="284"/>
        <w:jc w:val="both"/>
      </w:pPr>
      <w:r>
        <w:rPr>
          <w:rFonts w:ascii="Arial" w:eastAsia="Arial" w:hAnsi="Arial" w:cs="Arial"/>
          <w:b/>
        </w:rPr>
        <w:t>Prima della formulazione della domanda, lo studente è tenuto a visitare il sito internet delle Università straniere, in quanto spesso sono richiesti dalle istituzioni partner   certificati di conoscenza della lingua straniera di uno specifico livello in accordo con le tabelle europee, o altri documenti (vaccinazioni varie, lettere di presentazione ecc.), indispensabili per l’accettazione degli studenti da parte delle Università straniere. La non rispondenza da parte degli studenti assegnatari di borsa ai requisiti richiesti dalle singole Università potrà comportare la perdita della borsa assegnata.</w:t>
      </w:r>
    </w:p>
    <w:p w:rsidR="004C1FA6" w:rsidRDefault="004C1FA6">
      <w:pPr>
        <w:pStyle w:val="Normale1"/>
        <w:spacing w:before="100" w:after="100"/>
        <w:ind w:left="284"/>
        <w:jc w:val="both"/>
      </w:pPr>
    </w:p>
    <w:p w:rsidR="004C1FA6" w:rsidRDefault="00CE022F">
      <w:pPr>
        <w:pStyle w:val="Normale1"/>
        <w:spacing w:before="100" w:after="100"/>
        <w:ind w:left="284"/>
        <w:jc w:val="both"/>
      </w:pPr>
      <w:r>
        <w:rPr>
          <w:rFonts w:ascii="Arial" w:eastAsia="Arial" w:hAnsi="Arial" w:cs="Arial"/>
          <w:b/>
          <w:u w:val="single"/>
        </w:rPr>
        <w:t xml:space="preserve">E’ tassativo che in fase di candidatura lo studente indichi l’indirizzo e-mail </w:t>
      </w:r>
      <w:proofErr w:type="spellStart"/>
      <w:r>
        <w:rPr>
          <w:rFonts w:ascii="Arial" w:eastAsia="Arial" w:hAnsi="Arial" w:cs="Arial"/>
          <w:b/>
          <w:u w:val="single"/>
        </w:rPr>
        <w:t>isituzionale</w:t>
      </w:r>
      <w:proofErr w:type="spellEnd"/>
      <w:r>
        <w:rPr>
          <w:rFonts w:ascii="Arial" w:eastAsia="Arial" w:hAnsi="Arial" w:cs="Arial"/>
          <w:b/>
          <w:u w:val="single"/>
        </w:rPr>
        <w:t xml:space="preserve"> (es.: cognome.numeromatricola@studenti.uniroma1.it).</w:t>
      </w:r>
    </w:p>
    <w:p w:rsidR="004C1FA6" w:rsidRDefault="004C1FA6">
      <w:pPr>
        <w:pStyle w:val="Normale1"/>
        <w:spacing w:before="100" w:after="100"/>
        <w:ind w:left="284"/>
        <w:jc w:val="both"/>
      </w:pPr>
    </w:p>
    <w:p w:rsidR="004C1FA6" w:rsidRDefault="004C1FA6">
      <w:pPr>
        <w:pStyle w:val="Normale1"/>
        <w:ind w:left="284"/>
        <w:jc w:val="both"/>
      </w:pPr>
    </w:p>
    <w:p w:rsidR="004C1FA6" w:rsidRDefault="00CE022F" w:rsidP="00667606">
      <w:pPr>
        <w:pStyle w:val="Normale1"/>
        <w:ind w:left="284"/>
        <w:jc w:val="both"/>
      </w:pPr>
      <w:bookmarkStart w:id="0" w:name="_gjdgxs" w:colFirst="0" w:colLast="0"/>
      <w:bookmarkEnd w:id="0"/>
      <w:r>
        <w:rPr>
          <w:rFonts w:ascii="Arial" w:eastAsia="Arial" w:hAnsi="Arial" w:cs="Arial"/>
        </w:rPr>
        <w:t xml:space="preserve">Il modulo di candidatura potrà essere compilato, a partire dal </w:t>
      </w:r>
      <w:r>
        <w:rPr>
          <w:rFonts w:ascii="Arial" w:eastAsia="Arial" w:hAnsi="Arial" w:cs="Arial"/>
          <w:b/>
        </w:rPr>
        <w:t xml:space="preserve"> 3 febbraio 2017</w:t>
      </w:r>
      <w:r>
        <w:rPr>
          <w:rFonts w:ascii="Arial" w:eastAsia="Arial" w:hAnsi="Arial" w:cs="Arial"/>
        </w:rPr>
        <w:t xml:space="preserve"> fino al</w:t>
      </w:r>
      <w:r>
        <w:rPr>
          <w:rFonts w:ascii="Arial" w:eastAsia="Arial" w:hAnsi="Arial" w:cs="Arial"/>
          <w:b/>
        </w:rPr>
        <w:t> 6 marzo 2017 ore 12:00</w:t>
      </w:r>
      <w:r>
        <w:rPr>
          <w:rFonts w:ascii="Arial" w:eastAsia="Arial" w:hAnsi="Arial" w:cs="Arial"/>
        </w:rPr>
        <w:t xml:space="preserve"> avvalendosi dell’applicazione web “Domanda di candidatura on line” disponibile alla pagina: </w:t>
      </w:r>
      <w:hyperlink r:id="rId12">
        <w:r>
          <w:rPr>
            <w:rFonts w:ascii="Arial" w:eastAsia="Arial" w:hAnsi="Arial" w:cs="Arial"/>
            <w:u w:val="single"/>
          </w:rPr>
          <w:t>http://151.100.101.75/candidatura/login.aspx</w:t>
        </w:r>
      </w:hyperlink>
      <w:r>
        <w:rPr>
          <w:rFonts w:ascii="Arial" w:eastAsia="Arial" w:hAnsi="Arial" w:cs="Arial"/>
        </w:rPr>
        <w:t>.</w:t>
      </w:r>
    </w:p>
    <w:p w:rsidR="004C1FA6" w:rsidRDefault="00CE022F">
      <w:pPr>
        <w:pStyle w:val="Normale1"/>
        <w:ind w:left="284"/>
        <w:jc w:val="both"/>
      </w:pPr>
      <w:r>
        <w:rPr>
          <w:rFonts w:ascii="Arial" w:eastAsia="Arial" w:hAnsi="Arial" w:cs="Arial"/>
        </w:rPr>
        <w:t xml:space="preserve">Per avere assistenza tecnica si potrà compilare il </w:t>
      </w:r>
      <w:proofErr w:type="spellStart"/>
      <w:r>
        <w:rPr>
          <w:rFonts w:ascii="Arial" w:eastAsia="Arial" w:hAnsi="Arial" w:cs="Arial"/>
        </w:rPr>
        <w:t>form</w:t>
      </w:r>
      <w:proofErr w:type="spellEnd"/>
      <w:r>
        <w:rPr>
          <w:rFonts w:ascii="Arial" w:eastAsia="Arial" w:hAnsi="Arial" w:cs="Arial"/>
        </w:rPr>
        <w:t xml:space="preserve"> di </w:t>
      </w:r>
      <w:proofErr w:type="spellStart"/>
      <w:r>
        <w:rPr>
          <w:rFonts w:ascii="Arial" w:eastAsia="Arial" w:hAnsi="Arial" w:cs="Arial"/>
        </w:rPr>
        <w:t>Helpdesk</w:t>
      </w:r>
      <w:proofErr w:type="spellEnd"/>
      <w:r>
        <w:rPr>
          <w:rFonts w:ascii="Arial" w:eastAsia="Arial" w:hAnsi="Arial" w:cs="Arial"/>
        </w:rPr>
        <w:t xml:space="preserve"> disponibile alla pagina </w:t>
      </w:r>
      <w:hyperlink r:id="rId13">
        <w:r>
          <w:rPr>
            <w:rFonts w:ascii="Arial" w:eastAsia="Arial" w:hAnsi="Arial" w:cs="Arial"/>
            <w:u w:val="single"/>
          </w:rPr>
          <w:t>http://151.100.101.75/candidatura/sendmail.aspx</w:t>
        </w:r>
      </w:hyperlink>
      <w:r>
        <w:rPr>
          <w:rFonts w:ascii="Arial" w:eastAsia="Arial" w:hAnsi="Arial" w:cs="Arial"/>
        </w:rPr>
        <w:t>.</w:t>
      </w:r>
    </w:p>
    <w:p w:rsidR="004C1FA6" w:rsidRDefault="00CE022F">
      <w:pPr>
        <w:pStyle w:val="Normale1"/>
        <w:ind w:left="284"/>
        <w:jc w:val="both"/>
      </w:pPr>
      <w:r>
        <w:rPr>
          <w:rFonts w:ascii="Arial" w:eastAsia="Arial" w:hAnsi="Arial" w:cs="Arial"/>
        </w:rPr>
        <w:t xml:space="preserve">Al termine della compilazione, ogni candidato riceverà, all’indirizzo di posta elettronica fornito nel modulo di candidatura, il report relativo ai dati inseriti. Pertanto, è cura di ciascun candidato la verifica del ricevimento del report, il controllo dell'esattezza dei dati forniti e la comunicazione tempestiva degli eventuali errori di compilazione/ricezione al Responsabile Amministrativo Erasmus di Facoltà (Sabina </w:t>
      </w:r>
      <w:proofErr w:type="spellStart"/>
      <w:r>
        <w:rPr>
          <w:rFonts w:ascii="Arial" w:eastAsia="Arial" w:hAnsi="Arial" w:cs="Arial"/>
        </w:rPr>
        <w:t>Imbimbo</w:t>
      </w:r>
      <w:proofErr w:type="spellEnd"/>
      <w:r>
        <w:rPr>
          <w:rFonts w:ascii="Arial" w:eastAsia="Arial" w:hAnsi="Arial" w:cs="Arial"/>
        </w:rPr>
        <w:t xml:space="preserve">, </w:t>
      </w:r>
      <w:proofErr w:type="spellStart"/>
      <w:r>
        <w:rPr>
          <w:rFonts w:ascii="Arial" w:eastAsia="Arial" w:hAnsi="Arial" w:cs="Arial"/>
        </w:rPr>
        <w:t>Raef</w:t>
      </w:r>
      <w:proofErr w:type="spellEnd"/>
      <w:r>
        <w:rPr>
          <w:rFonts w:ascii="Arial" w:eastAsia="Arial" w:hAnsi="Arial" w:cs="Arial"/>
        </w:rPr>
        <w:t xml:space="preserve"> di Facoltà Farmacia e Medicina, Area Farmacia </w:t>
      </w:r>
      <w:r>
        <w:rPr>
          <w:rFonts w:ascii="Arial" w:eastAsia="Arial" w:hAnsi="Arial" w:cs="Arial"/>
          <w:u w:val="single"/>
        </w:rPr>
        <w:t>erasmustutorfarmacia@uniroma1.it</w:t>
      </w:r>
      <w:r>
        <w:rPr>
          <w:rFonts w:ascii="Arial" w:eastAsia="Arial" w:hAnsi="Arial" w:cs="Arial"/>
          <w:sz w:val="24"/>
          <w:szCs w:val="24"/>
        </w:rPr>
        <w:t> </w:t>
      </w:r>
      <w:r>
        <w:rPr>
          <w:rFonts w:ascii="Arial" w:eastAsia="Arial" w:hAnsi="Arial" w:cs="Arial"/>
        </w:rPr>
        <w:t xml:space="preserve">Luciano </w:t>
      </w:r>
      <w:proofErr w:type="spellStart"/>
      <w:r>
        <w:rPr>
          <w:rFonts w:ascii="Arial" w:eastAsia="Arial" w:hAnsi="Arial" w:cs="Arial"/>
        </w:rPr>
        <w:t>Saso</w:t>
      </w:r>
      <w:proofErr w:type="spellEnd"/>
      <w:r>
        <w:rPr>
          <w:rFonts w:ascii="Arial" w:eastAsia="Arial" w:hAnsi="Arial" w:cs="Arial"/>
        </w:rPr>
        <w:t xml:space="preserve">, Coordinatore Accademico per la Mobilità (CAM) della </w:t>
      </w:r>
      <w:proofErr w:type="spellStart"/>
      <w:r>
        <w:rPr>
          <w:rFonts w:ascii="Arial" w:eastAsia="Arial" w:hAnsi="Arial" w:cs="Arial"/>
        </w:rPr>
        <w:t>Facolta'</w:t>
      </w:r>
      <w:proofErr w:type="spellEnd"/>
      <w:r>
        <w:rPr>
          <w:rFonts w:ascii="Arial" w:eastAsia="Arial" w:hAnsi="Arial" w:cs="Arial"/>
        </w:rPr>
        <w:t xml:space="preserve"> di appartenenza Professor Luciano </w:t>
      </w:r>
      <w:proofErr w:type="spellStart"/>
      <w:r>
        <w:rPr>
          <w:rFonts w:ascii="Arial" w:eastAsia="Arial" w:hAnsi="Arial" w:cs="Arial"/>
        </w:rPr>
        <w:t>Saso</w:t>
      </w:r>
      <w:proofErr w:type="spellEnd"/>
      <w:r>
        <w:rPr>
          <w:rFonts w:ascii="Arial" w:eastAsia="Arial" w:hAnsi="Arial" w:cs="Arial"/>
          <w:sz w:val="24"/>
          <w:szCs w:val="24"/>
        </w:rPr>
        <w:t> </w:t>
      </w:r>
      <w:hyperlink r:id="rId14">
        <w:r>
          <w:rPr>
            <w:rFonts w:ascii="Arial" w:eastAsia="Arial" w:hAnsi="Arial" w:cs="Arial"/>
          </w:rPr>
          <w:t>luciano.saso@uniroma1.it</w:t>
        </w:r>
      </w:hyperlink>
      <w:r>
        <w:rPr>
          <w:rFonts w:ascii="Arial" w:eastAsia="Arial" w:hAnsi="Arial" w:cs="Arial"/>
        </w:rPr>
        <w:t xml:space="preserve">). </w:t>
      </w:r>
      <w:r>
        <w:rPr>
          <w:rFonts w:ascii="Arial" w:eastAsia="Arial" w:hAnsi="Arial" w:cs="Arial"/>
          <w:b/>
        </w:rPr>
        <w:t>I candidati hanno l'obbligo di confermare i dati inseriti via web consegnando la versione cartacea debitamente firmata alla Facoltà banditrice,</w:t>
      </w:r>
      <w:r>
        <w:rPr>
          <w:rFonts w:ascii="Arial" w:eastAsia="Arial" w:hAnsi="Arial" w:cs="Arial"/>
        </w:rPr>
        <w:t> </w:t>
      </w:r>
      <w:r>
        <w:rPr>
          <w:rFonts w:ascii="Arial" w:eastAsia="Arial" w:hAnsi="Arial" w:cs="Arial"/>
          <w:b/>
        </w:rPr>
        <w:t>entro le ore 13:00 del 10 Marzo 2017 presso l’ufficio Erasmus di Facoltà, Area Farmacia, Ex Presidenza Farmacia (Città Universitaria), adiacenze Aula III “Ex Ingegneria”, Edificio CU034.</w:t>
      </w:r>
    </w:p>
    <w:p w:rsidR="004C1FA6" w:rsidRDefault="004C1FA6">
      <w:pPr>
        <w:pStyle w:val="Normale1"/>
        <w:ind w:left="284"/>
        <w:jc w:val="both"/>
      </w:pPr>
    </w:p>
    <w:p w:rsidR="004C1FA6" w:rsidRDefault="004C1FA6" w:rsidP="00667606">
      <w:pPr>
        <w:pStyle w:val="Normale1"/>
        <w:jc w:val="both"/>
      </w:pPr>
    </w:p>
    <w:p w:rsidR="004C1FA6" w:rsidRDefault="00CE022F">
      <w:pPr>
        <w:pStyle w:val="Normale1"/>
        <w:jc w:val="both"/>
      </w:pPr>
      <w:r>
        <w:rPr>
          <w:rFonts w:ascii="Arial" w:eastAsia="Arial" w:hAnsi="Arial" w:cs="Arial"/>
        </w:rPr>
        <w:t xml:space="preserve">       </w:t>
      </w:r>
      <w:r>
        <w:rPr>
          <w:rFonts w:ascii="Arial" w:eastAsia="Arial" w:hAnsi="Arial" w:cs="Arial"/>
          <w:b/>
        </w:rPr>
        <w:t>Unitamente alla domanda occorre presentare:</w:t>
      </w:r>
    </w:p>
    <w:p w:rsidR="004C1FA6" w:rsidRDefault="00CE022F" w:rsidP="00B1403A">
      <w:pPr>
        <w:pStyle w:val="Normale1"/>
        <w:spacing w:before="100" w:after="100"/>
        <w:ind w:left="284"/>
        <w:jc w:val="both"/>
        <w:rPr>
          <w:rFonts w:ascii="Arial" w:eastAsia="Arial" w:hAnsi="Arial" w:cs="Arial"/>
          <w:b/>
        </w:rPr>
      </w:pPr>
      <w:r>
        <w:rPr>
          <w:rFonts w:ascii="Arial" w:eastAsia="Arial" w:hAnsi="Arial" w:cs="Arial"/>
          <w:b/>
        </w:rPr>
        <w:t>-  Fotocopia del documento d'identità in corso di validità</w:t>
      </w:r>
    </w:p>
    <w:p w:rsidR="00B64AB6" w:rsidRDefault="00B64AB6" w:rsidP="00B64AB6">
      <w:pPr>
        <w:pStyle w:val="Normale1"/>
        <w:spacing w:before="100" w:after="100"/>
        <w:ind w:left="284"/>
        <w:jc w:val="both"/>
        <w:rPr>
          <w:rFonts w:ascii="Arial" w:eastAsia="Arial" w:hAnsi="Arial" w:cs="Arial"/>
          <w:b/>
        </w:rPr>
      </w:pPr>
      <w:r>
        <w:rPr>
          <w:rFonts w:ascii="Arial" w:eastAsia="Arial" w:hAnsi="Arial" w:cs="Arial"/>
          <w:b/>
        </w:rPr>
        <w:t>- Copia della ricevuta</w:t>
      </w:r>
      <w:r w:rsidR="009A3AC8">
        <w:rPr>
          <w:rFonts w:ascii="Arial" w:eastAsia="Arial" w:hAnsi="Arial" w:cs="Arial"/>
          <w:b/>
        </w:rPr>
        <w:t xml:space="preserve"> </w:t>
      </w:r>
      <w:r w:rsidR="0017735B">
        <w:rPr>
          <w:rFonts w:ascii="Arial" w:eastAsia="Arial" w:hAnsi="Arial" w:cs="Arial"/>
          <w:b/>
        </w:rPr>
        <w:t>di prenotazione degli</w:t>
      </w:r>
      <w:r w:rsidR="009A3AC8">
        <w:rPr>
          <w:rFonts w:ascii="Arial" w:eastAsia="Arial" w:hAnsi="Arial" w:cs="Arial"/>
          <w:b/>
        </w:rPr>
        <w:t xml:space="preserve"> </w:t>
      </w:r>
      <w:r>
        <w:rPr>
          <w:rFonts w:ascii="Arial" w:eastAsia="Arial" w:hAnsi="Arial" w:cs="Arial"/>
          <w:b/>
        </w:rPr>
        <w:t xml:space="preserve"> esami sostenuti ma non ancora registrati sul sistema INFOSTUD</w:t>
      </w:r>
    </w:p>
    <w:p w:rsidR="00B64AB6" w:rsidRDefault="00B64AB6" w:rsidP="00B64AB6">
      <w:pPr>
        <w:pStyle w:val="Normale1"/>
        <w:spacing w:before="100" w:after="100"/>
        <w:ind w:left="284"/>
        <w:jc w:val="both"/>
      </w:pPr>
      <w:r>
        <w:rPr>
          <w:rFonts w:ascii="Arial" w:eastAsia="Arial" w:hAnsi="Arial" w:cs="Arial"/>
          <w:b/>
        </w:rPr>
        <w:t>- Autocertificazione degli esami sostenuti presso l’Ateneo non ancora presenti un INFOSTUD</w:t>
      </w:r>
    </w:p>
    <w:p w:rsidR="004C1FA6" w:rsidRDefault="00B64AB6" w:rsidP="00B64AB6">
      <w:pPr>
        <w:pStyle w:val="Normale1"/>
        <w:spacing w:before="100" w:after="100"/>
        <w:ind w:left="284" w:hanging="142"/>
        <w:jc w:val="both"/>
      </w:pPr>
      <w:r>
        <w:t xml:space="preserve">    </w:t>
      </w:r>
      <w:r w:rsidR="00CE022F">
        <w:rPr>
          <w:rFonts w:ascii="Arial" w:eastAsia="Arial" w:hAnsi="Arial" w:cs="Arial"/>
          <w:b/>
        </w:rPr>
        <w:t>- Autocertificazione degli</w:t>
      </w:r>
      <w:r w:rsidR="00B1403A">
        <w:rPr>
          <w:rFonts w:ascii="Arial" w:eastAsia="Arial" w:hAnsi="Arial" w:cs="Arial"/>
          <w:b/>
        </w:rPr>
        <w:t xml:space="preserve"> esami</w:t>
      </w:r>
      <w:r w:rsidR="00CE022F">
        <w:rPr>
          <w:rFonts w:ascii="Arial" w:eastAsia="Arial" w:hAnsi="Arial" w:cs="Arial"/>
          <w:b/>
        </w:rPr>
        <w:t xml:space="preserve"> sostenuti all’estero debitamente convalidati ma non ancora presenti su INFOSTUD</w:t>
      </w:r>
    </w:p>
    <w:p w:rsidR="004C1FA6" w:rsidRDefault="00CE022F">
      <w:pPr>
        <w:pStyle w:val="Normale1"/>
        <w:spacing w:before="100" w:after="100"/>
        <w:ind w:left="284"/>
        <w:jc w:val="both"/>
      </w:pPr>
      <w:r>
        <w:rPr>
          <w:rFonts w:ascii="Arial" w:eastAsia="Arial" w:hAnsi="Arial" w:cs="Arial"/>
          <w:b/>
        </w:rPr>
        <w:t>-  Modulo di autocertificazione</w:t>
      </w:r>
      <w:r w:rsidR="00B1403A">
        <w:rPr>
          <w:rFonts w:ascii="Arial" w:eastAsia="Arial" w:hAnsi="Arial" w:cs="Arial"/>
          <w:b/>
        </w:rPr>
        <w:t xml:space="preserve"> di conoscenza della lingua straniera, nel caso in cui non sia disponibile un certificato rilasciato</w:t>
      </w:r>
      <w:r>
        <w:rPr>
          <w:rFonts w:ascii="Arial" w:eastAsia="Arial" w:hAnsi="Arial" w:cs="Arial"/>
          <w:b/>
        </w:rPr>
        <w:t xml:space="preserve"> da</w:t>
      </w:r>
      <w:r w:rsidR="00B1403A">
        <w:rPr>
          <w:rFonts w:ascii="Arial" w:eastAsia="Arial" w:hAnsi="Arial" w:cs="Arial"/>
          <w:b/>
        </w:rPr>
        <w:t xml:space="preserve"> un</w:t>
      </w:r>
      <w:r>
        <w:rPr>
          <w:rFonts w:ascii="Arial" w:eastAsia="Arial" w:hAnsi="Arial" w:cs="Arial"/>
          <w:b/>
        </w:rPr>
        <w:t xml:space="preserve"> e</w:t>
      </w:r>
      <w:r w:rsidR="00B1403A">
        <w:rPr>
          <w:rFonts w:ascii="Arial" w:eastAsia="Arial" w:hAnsi="Arial" w:cs="Arial"/>
          <w:b/>
        </w:rPr>
        <w:t>nte riconosciuto.</w:t>
      </w:r>
      <w:r>
        <w:rPr>
          <w:rFonts w:ascii="Arial" w:eastAsia="Arial" w:hAnsi="Arial" w:cs="Arial"/>
          <w:b/>
        </w:rPr>
        <w:t xml:space="preserve"> </w:t>
      </w:r>
    </w:p>
    <w:p w:rsidR="004C1FA6" w:rsidRDefault="004C1FA6">
      <w:pPr>
        <w:pStyle w:val="Normale1"/>
        <w:ind w:left="284"/>
        <w:jc w:val="both"/>
      </w:pPr>
    </w:p>
    <w:p w:rsidR="004C1FA6" w:rsidRDefault="00CE022F">
      <w:pPr>
        <w:pStyle w:val="Normale1"/>
        <w:ind w:left="284"/>
        <w:jc w:val="both"/>
      </w:pPr>
      <w:r>
        <w:rPr>
          <w:rFonts w:ascii="Arial" w:eastAsia="Arial" w:hAnsi="Arial" w:cs="Arial"/>
        </w:rPr>
        <w:t xml:space="preserve">NB: ai sensi della Legge 12/11/2011 n. 183, gli atti rilasciati dalla pubblica amministrazione (es. certificato di esami sostenuti) sono sostituiti da autocertificazione (D.P.R. 445/00). Per autocertificare è sufficiente una dichiarazione in carta semplice. </w:t>
      </w:r>
    </w:p>
    <w:p w:rsidR="004C1FA6" w:rsidRDefault="00CE022F">
      <w:pPr>
        <w:pStyle w:val="Normale1"/>
        <w:ind w:left="284"/>
        <w:jc w:val="both"/>
      </w:pPr>
      <w:r>
        <w:rPr>
          <w:rFonts w:ascii="Arial" w:eastAsia="Arial" w:hAnsi="Arial" w:cs="Arial"/>
        </w:rPr>
        <w:t>L’Amministrazione si riserva la Facoltà di procedere a idonei controlli circa la veridicità del contenuto delle autocertificazioni delle dichiarazioni sostitutive; in caso di falsa dichiarazione sono applicabili le disposizioni previste dall’art. 76 del D.P.R. n. 445/2000 e dagli artt. 483, 485, e 486 del codice penale</w:t>
      </w:r>
      <w:r>
        <w:rPr>
          <w:rFonts w:ascii="Arial" w:eastAsia="Arial" w:hAnsi="Arial" w:cs="Arial"/>
          <w:sz w:val="24"/>
          <w:szCs w:val="24"/>
        </w:rPr>
        <w:t>.</w:t>
      </w:r>
      <w:r>
        <w:rPr>
          <w:rFonts w:ascii="Arial" w:eastAsia="Arial" w:hAnsi="Arial" w:cs="Arial"/>
        </w:rPr>
        <w:t xml:space="preserve"> </w:t>
      </w:r>
    </w:p>
    <w:p w:rsidR="004C1FA6" w:rsidRDefault="00CE022F">
      <w:pPr>
        <w:pStyle w:val="Normale1"/>
        <w:ind w:left="284" w:hanging="360"/>
        <w:jc w:val="both"/>
      </w:pPr>
      <w:r>
        <w:rPr>
          <w:rFonts w:ascii="Arial" w:eastAsia="Arial" w:hAnsi="Arial" w:cs="Arial"/>
        </w:rPr>
        <w:t> </w:t>
      </w:r>
      <w:r>
        <w:rPr>
          <w:rFonts w:ascii="Arial" w:eastAsia="Arial" w:hAnsi="Arial" w:cs="Arial"/>
        </w:rPr>
        <w:tab/>
      </w:r>
      <w:r>
        <w:rPr>
          <w:rFonts w:ascii="Arial" w:eastAsia="Arial" w:hAnsi="Arial" w:cs="Arial"/>
          <w:b/>
        </w:rPr>
        <w:t>La mancata consegna dei predetti documenti entro il termine sopraindicato, nonché la mancata veridicità delle informazioni autocertificate o dichiarate, costituiranno motivo di esclusione. </w:t>
      </w:r>
    </w:p>
    <w:p w:rsidR="004C1FA6" w:rsidRDefault="00CE022F" w:rsidP="00667606">
      <w:pPr>
        <w:pStyle w:val="Normale1"/>
        <w:ind w:firstLine="284"/>
        <w:jc w:val="both"/>
      </w:pPr>
      <w:r>
        <w:rPr>
          <w:rFonts w:ascii="Arial" w:eastAsia="Arial" w:hAnsi="Arial" w:cs="Arial"/>
          <w:b/>
        </w:rPr>
        <w:lastRenderedPageBreak/>
        <w:t xml:space="preserve">5. SELEZIONI E FORMULAZIONE DELLA GRADUATORIA DEGLI IDONEI </w:t>
      </w:r>
    </w:p>
    <w:p w:rsidR="004C1FA6" w:rsidRDefault="004C1FA6">
      <w:pPr>
        <w:pStyle w:val="Normale1"/>
        <w:ind w:left="284"/>
        <w:jc w:val="both"/>
      </w:pPr>
    </w:p>
    <w:p w:rsidR="004C1FA6" w:rsidRDefault="00CE022F">
      <w:pPr>
        <w:pStyle w:val="Normale1"/>
        <w:spacing w:before="100" w:after="100"/>
        <w:ind w:left="284"/>
        <w:jc w:val="both"/>
      </w:pPr>
      <w:r>
        <w:rPr>
          <w:rFonts w:ascii="Arial" w:eastAsia="Arial" w:hAnsi="Arial" w:cs="Arial"/>
        </w:rPr>
        <w:t xml:space="preserve">Una Commissione - composta  dal Coordinatore Accademico per la Mobilità (CAM) di Facoltà Area Farmacia Prof. Luciano </w:t>
      </w:r>
      <w:proofErr w:type="spellStart"/>
      <w:r>
        <w:rPr>
          <w:rFonts w:ascii="Arial" w:eastAsia="Arial" w:hAnsi="Arial" w:cs="Arial"/>
        </w:rPr>
        <w:t>Saso</w:t>
      </w:r>
      <w:proofErr w:type="spellEnd"/>
      <w:r>
        <w:rPr>
          <w:rFonts w:ascii="Arial" w:eastAsia="Arial" w:hAnsi="Arial" w:cs="Arial"/>
        </w:rPr>
        <w:t xml:space="preserve">, dal Responsabile Amministrativo </w:t>
      </w:r>
      <w:proofErr w:type="spellStart"/>
      <w:r>
        <w:rPr>
          <w:rFonts w:ascii="Arial" w:eastAsia="Arial" w:hAnsi="Arial" w:cs="Arial"/>
        </w:rPr>
        <w:t>Erasmus</w:t>
      </w:r>
      <w:proofErr w:type="spellEnd"/>
      <w:r>
        <w:rPr>
          <w:rFonts w:ascii="Arial" w:eastAsia="Arial" w:hAnsi="Arial" w:cs="Arial"/>
        </w:rPr>
        <w:t xml:space="preserve"> Sig.ra Sabina </w:t>
      </w:r>
      <w:proofErr w:type="spellStart"/>
      <w:r>
        <w:rPr>
          <w:rFonts w:ascii="Arial" w:eastAsia="Arial" w:hAnsi="Arial" w:cs="Arial"/>
        </w:rPr>
        <w:t>Imbimbo</w:t>
      </w:r>
      <w:proofErr w:type="spellEnd"/>
      <w:r>
        <w:rPr>
          <w:rFonts w:ascii="Arial" w:eastAsia="Arial" w:hAnsi="Arial" w:cs="Arial"/>
        </w:rPr>
        <w:t xml:space="preserve">, dal Dott. Alessandro </w:t>
      </w:r>
      <w:proofErr w:type="spellStart"/>
      <w:r>
        <w:rPr>
          <w:rFonts w:ascii="Arial" w:eastAsia="Arial" w:hAnsi="Arial" w:cs="Arial"/>
        </w:rPr>
        <w:t>Vallocchia</w:t>
      </w:r>
      <w:proofErr w:type="spellEnd"/>
      <w:r>
        <w:rPr>
          <w:rFonts w:ascii="Arial" w:eastAsia="Arial" w:hAnsi="Arial" w:cs="Arial"/>
        </w:rPr>
        <w:t xml:space="preserve"> e da uno</w:t>
      </w:r>
      <w:r w:rsidR="00870D2D">
        <w:rPr>
          <w:rFonts w:ascii="Arial" w:eastAsia="Arial" w:hAnsi="Arial" w:cs="Arial"/>
        </w:rPr>
        <w:t xml:space="preserve"> o più</w:t>
      </w:r>
      <w:r w:rsidR="000006B3">
        <w:rPr>
          <w:rFonts w:ascii="Arial" w:eastAsia="Arial" w:hAnsi="Arial" w:cs="Arial"/>
        </w:rPr>
        <w:t xml:space="preserve"> studenti</w:t>
      </w:r>
      <w:r>
        <w:rPr>
          <w:rFonts w:ascii="Arial" w:eastAsia="Arial" w:hAnsi="Arial" w:cs="Arial"/>
        </w:rPr>
        <w:t xml:space="preserve"> della Facoltà valuterà le candidature in base ai seguenti criteri:</w:t>
      </w:r>
    </w:p>
    <w:p w:rsidR="004C1FA6" w:rsidRDefault="00CE022F">
      <w:pPr>
        <w:pStyle w:val="Normale1"/>
        <w:numPr>
          <w:ilvl w:val="0"/>
          <w:numId w:val="4"/>
        </w:numPr>
        <w:spacing w:before="280"/>
        <w:ind w:hanging="360"/>
        <w:jc w:val="both"/>
        <w:rPr>
          <w:rFonts w:ascii="Arial" w:eastAsia="Arial" w:hAnsi="Arial" w:cs="Arial"/>
        </w:rPr>
      </w:pPr>
      <w:r>
        <w:rPr>
          <w:rFonts w:ascii="Arial" w:eastAsia="Arial" w:hAnsi="Arial" w:cs="Arial"/>
        </w:rPr>
        <w:t>Crediti acquisiti e/o numero di esami sostenuti: da </w:t>
      </w:r>
      <w:r>
        <w:rPr>
          <w:rFonts w:ascii="Arial" w:eastAsia="Arial" w:hAnsi="Arial" w:cs="Arial"/>
          <w:b/>
        </w:rPr>
        <w:t>0 a 10 punti;</w:t>
      </w:r>
    </w:p>
    <w:p w:rsidR="004C1FA6" w:rsidRDefault="00CE022F">
      <w:pPr>
        <w:pStyle w:val="Normale1"/>
        <w:numPr>
          <w:ilvl w:val="0"/>
          <w:numId w:val="4"/>
        </w:numPr>
        <w:ind w:hanging="360"/>
        <w:jc w:val="both"/>
        <w:rPr>
          <w:rFonts w:ascii="Arial" w:eastAsia="Arial" w:hAnsi="Arial" w:cs="Arial"/>
        </w:rPr>
      </w:pPr>
      <w:r>
        <w:rPr>
          <w:rFonts w:ascii="Arial" w:eastAsia="Arial" w:hAnsi="Arial" w:cs="Arial"/>
        </w:rPr>
        <w:t xml:space="preserve">Media </w:t>
      </w:r>
      <w:proofErr w:type="spellStart"/>
      <w:r>
        <w:rPr>
          <w:rFonts w:ascii="Arial" w:eastAsia="Arial" w:hAnsi="Arial" w:cs="Arial"/>
        </w:rPr>
        <w:t>artimetica</w:t>
      </w:r>
      <w:proofErr w:type="spellEnd"/>
      <w:r>
        <w:rPr>
          <w:rFonts w:ascii="Arial" w:eastAsia="Arial" w:hAnsi="Arial" w:cs="Arial"/>
        </w:rPr>
        <w:t xml:space="preserve"> dei voti corretta sottraendo un punto per ogni anno fuori corso o ripetente (nel caso delle lauree specialistiche biennali si terrà conto anche degli esami della laurea triennale) </w:t>
      </w:r>
      <w:r>
        <w:rPr>
          <w:rFonts w:ascii="Arial" w:eastAsia="Arial" w:hAnsi="Arial" w:cs="Arial"/>
          <w:b/>
        </w:rPr>
        <w:t>0 a 10 punti;</w:t>
      </w:r>
    </w:p>
    <w:p w:rsidR="004C1FA6" w:rsidRDefault="00CE022F">
      <w:pPr>
        <w:pStyle w:val="Normale1"/>
        <w:numPr>
          <w:ilvl w:val="0"/>
          <w:numId w:val="4"/>
        </w:numPr>
        <w:ind w:hanging="360"/>
        <w:jc w:val="both"/>
        <w:rPr>
          <w:rFonts w:ascii="Arial" w:eastAsia="Arial" w:hAnsi="Arial" w:cs="Arial"/>
        </w:rPr>
      </w:pPr>
      <w:r>
        <w:rPr>
          <w:rFonts w:ascii="Arial" w:eastAsia="Arial" w:hAnsi="Arial" w:cs="Arial"/>
        </w:rPr>
        <w:t>Competenze </w:t>
      </w:r>
      <w:r>
        <w:rPr>
          <w:rFonts w:ascii="Arial" w:eastAsia="Arial" w:hAnsi="Arial" w:cs="Arial"/>
          <w:b/>
        </w:rPr>
        <w:t>linguistiche relative alla lingua richiesta dalle sedi scelte:  da 0 a 30 punti;</w:t>
      </w:r>
    </w:p>
    <w:p w:rsidR="004C1FA6" w:rsidRDefault="00CE022F">
      <w:pPr>
        <w:pStyle w:val="Normale1"/>
        <w:numPr>
          <w:ilvl w:val="0"/>
          <w:numId w:val="4"/>
        </w:numPr>
        <w:ind w:hanging="360"/>
        <w:jc w:val="both"/>
        <w:rPr>
          <w:rFonts w:ascii="Arial" w:eastAsia="Arial" w:hAnsi="Arial" w:cs="Arial"/>
        </w:rPr>
      </w:pPr>
      <w:r>
        <w:rPr>
          <w:rFonts w:ascii="Arial" w:eastAsia="Arial" w:hAnsi="Arial" w:cs="Arial"/>
        </w:rPr>
        <w:t>Valutazione complessiva del curriculum: </w:t>
      </w:r>
      <w:r>
        <w:rPr>
          <w:rFonts w:ascii="Arial" w:eastAsia="Arial" w:hAnsi="Arial" w:cs="Arial"/>
          <w:b/>
        </w:rPr>
        <w:t>da 0 a 20 punti;</w:t>
      </w:r>
    </w:p>
    <w:p w:rsidR="004C1FA6" w:rsidRDefault="00CE022F">
      <w:pPr>
        <w:pStyle w:val="Normale1"/>
        <w:numPr>
          <w:ilvl w:val="0"/>
          <w:numId w:val="4"/>
        </w:numPr>
        <w:ind w:hanging="360"/>
        <w:jc w:val="both"/>
        <w:rPr>
          <w:rFonts w:ascii="Arial" w:eastAsia="Arial" w:hAnsi="Arial" w:cs="Arial"/>
        </w:rPr>
      </w:pPr>
      <w:r>
        <w:rPr>
          <w:rFonts w:ascii="Arial" w:eastAsia="Arial" w:hAnsi="Arial" w:cs="Arial"/>
        </w:rPr>
        <w:t xml:space="preserve">Progetto di studio all’estero (esami o </w:t>
      </w:r>
      <w:proofErr w:type="spellStart"/>
      <w:r>
        <w:rPr>
          <w:rFonts w:ascii="Arial" w:eastAsia="Arial" w:hAnsi="Arial" w:cs="Arial"/>
        </w:rPr>
        <w:t>Laboratory</w:t>
      </w:r>
      <w:proofErr w:type="spellEnd"/>
      <w:r>
        <w:rPr>
          <w:rFonts w:ascii="Arial" w:eastAsia="Arial" w:hAnsi="Arial" w:cs="Arial"/>
        </w:rPr>
        <w:t xml:space="preserve"> Training finalizzato alla preparazione della tesi sperimentale di laurea) </w:t>
      </w:r>
      <w:r>
        <w:rPr>
          <w:rFonts w:ascii="Arial" w:eastAsia="Arial" w:hAnsi="Arial" w:cs="Arial"/>
          <w:b/>
        </w:rPr>
        <w:t>da 0 a 20 punti;</w:t>
      </w:r>
    </w:p>
    <w:p w:rsidR="004C1FA6" w:rsidRDefault="00CE022F">
      <w:pPr>
        <w:pStyle w:val="Normale1"/>
        <w:numPr>
          <w:ilvl w:val="0"/>
          <w:numId w:val="4"/>
        </w:numPr>
        <w:spacing w:after="280"/>
        <w:ind w:hanging="360"/>
        <w:jc w:val="both"/>
        <w:rPr>
          <w:rFonts w:ascii="Arial" w:eastAsia="Arial" w:hAnsi="Arial" w:cs="Arial"/>
        </w:rPr>
      </w:pPr>
      <w:r>
        <w:rPr>
          <w:rFonts w:ascii="Arial" w:eastAsia="Arial" w:hAnsi="Arial" w:cs="Arial"/>
        </w:rPr>
        <w:t>Motivazione e obiettivi della mobilità: da</w:t>
      </w:r>
      <w:r>
        <w:rPr>
          <w:rFonts w:ascii="Arial" w:eastAsia="Arial" w:hAnsi="Arial" w:cs="Arial"/>
          <w:b/>
        </w:rPr>
        <w:t> 0 a 10 punti;</w:t>
      </w:r>
    </w:p>
    <w:p w:rsidR="004C1FA6" w:rsidRDefault="00CE022F">
      <w:pPr>
        <w:pStyle w:val="Normale1"/>
        <w:spacing w:before="100" w:after="100"/>
        <w:ind w:left="360"/>
        <w:jc w:val="both"/>
      </w:pPr>
      <w:r>
        <w:rPr>
          <w:rFonts w:ascii="Arial" w:eastAsia="Arial" w:hAnsi="Arial" w:cs="Arial"/>
          <w:b/>
          <w:u w:val="single"/>
        </w:rPr>
        <w:t>La Commissione sottoporrà i candidati a un colloquio obbligatorio. L’assenza a tale colloquio comporterà l’esclusione del candidato dalla graduatoria.</w:t>
      </w:r>
      <w:r>
        <w:rPr>
          <w:rFonts w:ascii="Arial" w:eastAsia="Arial" w:hAnsi="Arial" w:cs="Arial"/>
        </w:rPr>
        <w:t> </w:t>
      </w:r>
    </w:p>
    <w:p w:rsidR="004C1FA6" w:rsidRDefault="00CE022F">
      <w:pPr>
        <w:pStyle w:val="Normale1"/>
        <w:spacing w:before="100" w:after="100"/>
        <w:ind w:left="360"/>
        <w:jc w:val="both"/>
      </w:pPr>
      <w:r>
        <w:rPr>
          <w:rFonts w:ascii="Arial" w:eastAsia="Arial" w:hAnsi="Arial" w:cs="Arial"/>
        </w:rPr>
        <w:t>La Commissione sulla base dei suddetti criteri redigerà una graduatoria provvisoria degli idonei.</w:t>
      </w:r>
    </w:p>
    <w:p w:rsidR="004C1FA6" w:rsidRDefault="00CE022F">
      <w:pPr>
        <w:pStyle w:val="Normale1"/>
        <w:spacing w:before="100" w:after="100"/>
        <w:ind w:left="360"/>
        <w:jc w:val="both"/>
      </w:pPr>
      <w:r>
        <w:rPr>
          <w:rFonts w:ascii="Arial" w:eastAsia="Arial" w:hAnsi="Arial" w:cs="Arial"/>
        </w:rPr>
        <w:t>La graduatoria provvisoria sarà pubblicata sul sito di Facoltà </w:t>
      </w:r>
      <w:hyperlink r:id="rId15">
        <w:r>
          <w:rPr>
            <w:rFonts w:ascii="Arial" w:eastAsia="Arial" w:hAnsi="Arial" w:cs="Arial"/>
            <w:sz w:val="14"/>
            <w:szCs w:val="14"/>
            <w:u w:val="single"/>
          </w:rPr>
          <w:t>http://www.farmaciamedicina.uniroma1.it/notizie</w:t>
        </w:r>
      </w:hyperlink>
      <w:r>
        <w:rPr>
          <w:rFonts w:ascii="Arial" w:eastAsia="Arial" w:hAnsi="Arial" w:cs="Arial"/>
        </w:rPr>
        <w:t> . </w:t>
      </w:r>
    </w:p>
    <w:p w:rsidR="004C1FA6" w:rsidRDefault="00CE022F">
      <w:pPr>
        <w:pStyle w:val="Normale1"/>
        <w:spacing w:before="100" w:after="100"/>
        <w:ind w:left="284"/>
        <w:jc w:val="both"/>
      </w:pPr>
      <w:r>
        <w:rPr>
          <w:rFonts w:ascii="Arial" w:eastAsia="Arial" w:hAnsi="Arial" w:cs="Arial"/>
        </w:rPr>
        <w:t>La graduatoria sarà considerata definitiva qualora dalla data di pubblicazione, decorsi dieci giorni naturali e consecutivi, non vengano presentate, presso </w:t>
      </w:r>
      <w:r>
        <w:rPr>
          <w:rFonts w:ascii="Arial" w:eastAsia="Arial" w:hAnsi="Arial" w:cs="Arial"/>
          <w:b/>
        </w:rPr>
        <w:t>Erasmus di Facoltà, Area Farmacia, Ex Presidenza Farmacia (Città Universitaria), adiacenze Aula III “Ex Ingegneria”, Edificio CU034 - </w:t>
      </w:r>
      <w:r>
        <w:rPr>
          <w:rFonts w:ascii="Arial" w:eastAsia="Arial" w:hAnsi="Arial" w:cs="Arial"/>
        </w:rPr>
        <w:t> </w:t>
      </w:r>
      <w:r>
        <w:rPr>
          <w:rFonts w:ascii="Arial" w:eastAsia="Arial" w:hAnsi="Arial" w:cs="Arial"/>
          <w:b/>
        </w:rPr>
        <w:t>solo con richiesta per iscritto presentata a mano, durante l’orario di ricevimento: LUN – MERC – GIOV dalle 10:30 alle 12:00,</w:t>
      </w:r>
      <w:r>
        <w:rPr>
          <w:rFonts w:ascii="Arial" w:eastAsia="Arial" w:hAnsi="Arial" w:cs="Arial"/>
        </w:rPr>
        <w:t xml:space="preserve"> istanze di revisione della graduatoria stessa. </w:t>
      </w:r>
    </w:p>
    <w:p w:rsidR="004C1FA6" w:rsidRDefault="00CE022F">
      <w:pPr>
        <w:pStyle w:val="Normale1"/>
        <w:spacing w:before="100" w:after="100"/>
        <w:ind w:left="284"/>
        <w:jc w:val="both"/>
      </w:pPr>
      <w:r>
        <w:rPr>
          <w:rFonts w:ascii="Arial" w:eastAsia="Arial" w:hAnsi="Arial" w:cs="Arial"/>
        </w:rPr>
        <w:t xml:space="preserve">I candidati idonei saranno tenuti a dichiarare la propria disponibilità ad accettare la destinazione prevista </w:t>
      </w:r>
      <w:r>
        <w:rPr>
          <w:rFonts w:ascii="Arial" w:eastAsia="Arial" w:hAnsi="Arial" w:cs="Arial"/>
          <w:b/>
        </w:rPr>
        <w:t>entro 7 giorni dalla data di pubblicazione della graduatoria.</w:t>
      </w:r>
    </w:p>
    <w:p w:rsidR="004C1FA6" w:rsidRDefault="00CE022F">
      <w:pPr>
        <w:pStyle w:val="Normale1"/>
        <w:spacing w:before="100" w:after="100"/>
        <w:ind w:left="284"/>
        <w:jc w:val="both"/>
      </w:pPr>
      <w:r>
        <w:rPr>
          <w:rFonts w:ascii="Arial" w:eastAsia="Arial" w:hAnsi="Arial" w:cs="Arial"/>
        </w:rPr>
        <w:t xml:space="preserve">L’inserimento nelle graduatorie finali d’idoneità non comporterà automaticamente il diritto a svolgere un periodo di mobilità, poiché l’effettiva assegnazione dipenderà anche dalla verifica del rispetto dei vincoli didattici (vincoli/requisiti definiti da ogni </w:t>
      </w:r>
      <w:proofErr w:type="spellStart"/>
      <w:r>
        <w:rPr>
          <w:rFonts w:ascii="Arial" w:eastAsia="Arial" w:hAnsi="Arial" w:cs="Arial"/>
        </w:rPr>
        <w:t>CdS</w:t>
      </w:r>
      <w:proofErr w:type="spellEnd"/>
      <w:r>
        <w:rPr>
          <w:rFonts w:ascii="Arial" w:eastAsia="Arial" w:hAnsi="Arial" w:cs="Arial"/>
        </w:rPr>
        <w:t>) definiti dalla Facoltà e dalla sede di destinazione prescelta.</w:t>
      </w:r>
    </w:p>
    <w:p w:rsidR="004C1FA6" w:rsidRDefault="00CE022F">
      <w:pPr>
        <w:pStyle w:val="Normale1"/>
        <w:spacing w:before="100" w:after="100"/>
        <w:ind w:left="284"/>
        <w:jc w:val="both"/>
        <w:rPr>
          <w:rFonts w:ascii="Arial" w:eastAsia="Arial" w:hAnsi="Arial" w:cs="Arial"/>
        </w:rPr>
      </w:pPr>
      <w:r>
        <w:rPr>
          <w:rFonts w:ascii="Arial" w:eastAsia="Arial" w:hAnsi="Arial" w:cs="Arial"/>
        </w:rPr>
        <w:t xml:space="preserve">Nell’assegnazione della mobilità, a parità di punteggio, avranno priorità gli studenti che non hanno mai fruito di mobilità Erasmus per motivi di studio, </w:t>
      </w:r>
      <w:proofErr w:type="spellStart"/>
      <w:r>
        <w:rPr>
          <w:rFonts w:ascii="Arial" w:eastAsia="Arial" w:hAnsi="Arial" w:cs="Arial"/>
        </w:rPr>
        <w:t>Erasmus</w:t>
      </w:r>
      <w:proofErr w:type="spellEnd"/>
      <w:r>
        <w:rPr>
          <w:rFonts w:ascii="Arial" w:eastAsia="Arial" w:hAnsi="Arial" w:cs="Arial"/>
        </w:rPr>
        <w:t xml:space="preserve"> </w:t>
      </w:r>
      <w:proofErr w:type="spellStart"/>
      <w:r>
        <w:rPr>
          <w:rFonts w:ascii="Arial" w:eastAsia="Arial" w:hAnsi="Arial" w:cs="Arial"/>
        </w:rPr>
        <w:t>placement</w:t>
      </w:r>
      <w:proofErr w:type="spellEnd"/>
      <w:r>
        <w:rPr>
          <w:rFonts w:ascii="Arial" w:eastAsia="Arial" w:hAnsi="Arial" w:cs="Arial"/>
        </w:rPr>
        <w:t>/</w:t>
      </w:r>
      <w:proofErr w:type="spellStart"/>
      <w:r>
        <w:rPr>
          <w:rFonts w:ascii="Arial" w:eastAsia="Arial" w:hAnsi="Arial" w:cs="Arial"/>
        </w:rPr>
        <w:t>traineeship</w:t>
      </w:r>
      <w:proofErr w:type="spellEnd"/>
      <w:r>
        <w:rPr>
          <w:rFonts w:ascii="Arial" w:eastAsia="Arial" w:hAnsi="Arial" w:cs="Arial"/>
        </w:rPr>
        <w:t xml:space="preserve">. </w:t>
      </w:r>
    </w:p>
    <w:p w:rsidR="00667606" w:rsidRDefault="00667606">
      <w:pPr>
        <w:pStyle w:val="Normale1"/>
        <w:spacing w:before="100" w:after="100"/>
        <w:ind w:left="284"/>
        <w:jc w:val="both"/>
      </w:pPr>
    </w:p>
    <w:p w:rsidR="004C1FA6" w:rsidRDefault="00CE022F">
      <w:pPr>
        <w:pStyle w:val="Normale1"/>
        <w:ind w:left="284"/>
        <w:jc w:val="both"/>
      </w:pPr>
      <w:r>
        <w:rPr>
          <w:rFonts w:ascii="Arial" w:eastAsia="Arial" w:hAnsi="Arial" w:cs="Arial"/>
          <w:b/>
        </w:rPr>
        <w:lastRenderedPageBreak/>
        <w:t>6. LEARNING AGREEMENT, CONTRATTO FINANZIARIO E ONLINE LINGUISTIC SUPPORT (OLS)</w:t>
      </w:r>
    </w:p>
    <w:p w:rsidR="004C1FA6" w:rsidRDefault="004C1FA6">
      <w:pPr>
        <w:pStyle w:val="Normale1"/>
        <w:ind w:left="284"/>
        <w:jc w:val="both"/>
      </w:pPr>
    </w:p>
    <w:p w:rsidR="004C1FA6" w:rsidRDefault="00CE022F">
      <w:pPr>
        <w:pStyle w:val="Normale1"/>
        <w:ind w:left="284"/>
        <w:jc w:val="both"/>
      </w:pPr>
      <w:r>
        <w:rPr>
          <w:rFonts w:ascii="Arial" w:eastAsia="Arial" w:hAnsi="Arial" w:cs="Arial"/>
        </w:rPr>
        <w:t>Tutti gli studenti che hanno accettato in via definitiva la sede di destinazione assegnata sono tenuti a compilare il Learning Agreement (L.A.).</w:t>
      </w:r>
    </w:p>
    <w:p w:rsidR="004C1FA6" w:rsidRDefault="00CE022F">
      <w:pPr>
        <w:pStyle w:val="Normale1"/>
        <w:ind w:left="284"/>
        <w:jc w:val="both"/>
      </w:pPr>
      <w:r>
        <w:rPr>
          <w:rFonts w:ascii="Arial" w:eastAsia="Arial" w:hAnsi="Arial" w:cs="Arial"/>
        </w:rPr>
        <w:t>Il L.A. è un documento che viene predisposto prima della partenza e che definisce l’insieme degli insegnamenti da sostenere all’estero.</w:t>
      </w:r>
    </w:p>
    <w:p w:rsidR="004C1FA6" w:rsidRDefault="00CE022F">
      <w:pPr>
        <w:pStyle w:val="Normale1"/>
        <w:ind w:left="284"/>
        <w:jc w:val="both"/>
      </w:pPr>
      <w:r>
        <w:rPr>
          <w:rFonts w:ascii="Arial" w:eastAsia="Arial" w:hAnsi="Arial" w:cs="Arial"/>
        </w:rPr>
        <w:t xml:space="preserve">Il L.A. dovrà essere approvato dal Responsabile Accademico della Mobilità di Facoltà  ed essere sottoscritto dallo studente interessato e dall’Istituzione di accoglienza al fine di garantire allo studente in mobilità il riconoscimento dei crediti ottenuti in seguito al superamento dei relativi esami all’estero. </w:t>
      </w:r>
    </w:p>
    <w:p w:rsidR="004C1FA6" w:rsidRDefault="00CE022F">
      <w:pPr>
        <w:pStyle w:val="Normale1"/>
        <w:ind w:left="284" w:hanging="284"/>
        <w:jc w:val="both"/>
      </w:pPr>
      <w:r>
        <w:rPr>
          <w:rFonts w:ascii="Arial" w:eastAsia="Arial" w:hAnsi="Arial" w:cs="Arial"/>
          <w:b/>
          <w:sz w:val="24"/>
          <w:szCs w:val="24"/>
        </w:rPr>
        <w:t xml:space="preserve">    </w:t>
      </w:r>
      <w:r>
        <w:rPr>
          <w:rFonts w:ascii="Arial" w:eastAsia="Arial" w:hAnsi="Arial" w:cs="Arial"/>
        </w:rPr>
        <w:t xml:space="preserve">Lo studente dovrà compilare il L.A. sulla propria pagina personale all’indirizzo </w:t>
      </w:r>
      <w:hyperlink r:id="rId16">
        <w:r>
          <w:rPr>
            <w:rFonts w:ascii="Arial" w:eastAsia="Arial" w:hAnsi="Arial" w:cs="Arial"/>
            <w:u w:val="single"/>
          </w:rPr>
          <w:t>http://151.100.101.75/pp2013/login.aspx</w:t>
        </w:r>
      </w:hyperlink>
      <w:r>
        <w:rPr>
          <w:rFonts w:ascii="Arial" w:eastAsia="Arial" w:hAnsi="Arial" w:cs="Arial"/>
        </w:rPr>
        <w:t>.</w:t>
      </w:r>
    </w:p>
    <w:p w:rsidR="004C1FA6" w:rsidRDefault="004C1FA6">
      <w:pPr>
        <w:pStyle w:val="Normale1"/>
        <w:jc w:val="both"/>
      </w:pPr>
    </w:p>
    <w:p w:rsidR="004C1FA6" w:rsidRDefault="00CE022F">
      <w:pPr>
        <w:pStyle w:val="Normale1"/>
        <w:ind w:left="284"/>
        <w:jc w:val="both"/>
      </w:pPr>
      <w:r>
        <w:rPr>
          <w:rFonts w:ascii="Arial" w:eastAsia="Arial" w:hAnsi="Arial" w:cs="Arial"/>
        </w:rPr>
        <w:t xml:space="preserve">L’idoneità alla fruizione del contributo e la stipula del relativo contratto finanziario avverranno dopo la definizione e l'approvazione del L.A. </w:t>
      </w:r>
    </w:p>
    <w:p w:rsidR="004C1FA6" w:rsidRDefault="00CE022F">
      <w:pPr>
        <w:pStyle w:val="Normale1"/>
        <w:ind w:left="284"/>
        <w:jc w:val="both"/>
      </w:pPr>
      <w:r>
        <w:rPr>
          <w:rFonts w:ascii="Arial" w:eastAsia="Arial" w:hAnsi="Arial" w:cs="Arial"/>
        </w:rPr>
        <w:t>Lo status di studente Erasmus e la titolarità del relativo contributo saranno acquisiti solo a seguito della stipula del contratto finanziario.</w:t>
      </w:r>
    </w:p>
    <w:p w:rsidR="004C1FA6" w:rsidRDefault="004C1FA6">
      <w:pPr>
        <w:pStyle w:val="Normale1"/>
        <w:ind w:left="284"/>
        <w:jc w:val="both"/>
      </w:pPr>
    </w:p>
    <w:p w:rsidR="004C1FA6" w:rsidRDefault="00CE022F">
      <w:pPr>
        <w:pStyle w:val="Normale1"/>
        <w:ind w:left="284"/>
        <w:jc w:val="both"/>
      </w:pPr>
      <w:r>
        <w:rPr>
          <w:rFonts w:ascii="Arial" w:eastAsia="Arial" w:hAnsi="Arial" w:cs="Arial"/>
        </w:rPr>
        <w:t>L’accettazione finale dello studente e la valutazione circa l’adeguatezza del suo profilo e della sua preparazione linguistica sono di competenza dell’università ospitante. La stessa potrà richiedere al candidato, ulteriori certificazioni o potrà rifiutare la candidatura in base a proprie regole non specificate nell’accordo sottoscritto con la Facoltà/Ateneo.</w:t>
      </w:r>
    </w:p>
    <w:p w:rsidR="004C1FA6" w:rsidRDefault="004C1FA6">
      <w:pPr>
        <w:pStyle w:val="Normale1"/>
        <w:ind w:left="284"/>
        <w:jc w:val="both"/>
      </w:pPr>
    </w:p>
    <w:p w:rsidR="004C1FA6" w:rsidRDefault="004C1FA6">
      <w:pPr>
        <w:pStyle w:val="Normale1"/>
        <w:ind w:left="284"/>
        <w:jc w:val="both"/>
      </w:pPr>
    </w:p>
    <w:p w:rsidR="004C1FA6" w:rsidRDefault="00CE022F">
      <w:pPr>
        <w:pStyle w:val="Normale1"/>
        <w:ind w:left="284"/>
        <w:jc w:val="both"/>
      </w:pPr>
      <w:r>
        <w:rPr>
          <w:rFonts w:ascii="Arial" w:eastAsia="Arial" w:hAnsi="Arial" w:cs="Arial"/>
        </w:rPr>
        <w:t>Secondo le indicazioni fornite dalla Commissione Europea, lo studente assegnatario di mobilità Erasmus si sottoporrà ad una verifica on-line obbligatoria (</w:t>
      </w:r>
      <w:proofErr w:type="spellStart"/>
      <w:r>
        <w:rPr>
          <w:rFonts w:ascii="Arial" w:eastAsia="Arial" w:hAnsi="Arial" w:cs="Arial"/>
        </w:rPr>
        <w:t>assessment</w:t>
      </w:r>
      <w:proofErr w:type="spellEnd"/>
      <w:r>
        <w:rPr>
          <w:rFonts w:ascii="Arial" w:eastAsia="Arial" w:hAnsi="Arial" w:cs="Arial"/>
        </w:rPr>
        <w:t xml:space="preserve"> test) delle proprie competenze linguistiche prima e dopo la mobilità se la lingua di lavoro del periodo svolto all’estero è tra le seguenti: ceco, danese, inglese, francese, greco, polacco, olandese, spagnolo, svedese e tedesco fatta eccezione per i madrelingua e gli studenti assegnatari di una mobilità verso la Svizzera. Le modalità relative alla verifica linguistica verranno direttamente comunicate allo studente. Il pagamento dell’ultima rata del contributo finanziario sarà condizionato all’espletamento della verifica online obbligatoria alla fine del periodo di mobilità (nota 5).</w:t>
      </w:r>
    </w:p>
    <w:p w:rsidR="004C1FA6" w:rsidRDefault="004C1FA6">
      <w:pPr>
        <w:pStyle w:val="Normale1"/>
        <w:ind w:left="284"/>
        <w:jc w:val="both"/>
      </w:pPr>
    </w:p>
    <w:p w:rsidR="004C1FA6" w:rsidRDefault="004C1FA6">
      <w:pPr>
        <w:pStyle w:val="Normale1"/>
        <w:jc w:val="both"/>
      </w:pPr>
    </w:p>
    <w:p w:rsidR="004C1FA6" w:rsidRDefault="00CE022F">
      <w:pPr>
        <w:pStyle w:val="Normale1"/>
        <w:ind w:left="284"/>
      </w:pPr>
      <w:r>
        <w:rPr>
          <w:rFonts w:ascii="Arial" w:eastAsia="Arial" w:hAnsi="Arial" w:cs="Arial"/>
          <w:b/>
        </w:rPr>
        <w:t>7. RINUNCIA ALLA MOBILITA’</w:t>
      </w:r>
    </w:p>
    <w:p w:rsidR="004C1FA6" w:rsidRDefault="004C1FA6">
      <w:pPr>
        <w:pStyle w:val="Normale1"/>
        <w:ind w:left="284"/>
      </w:pPr>
    </w:p>
    <w:p w:rsidR="004C1FA6" w:rsidRDefault="00CE022F">
      <w:pPr>
        <w:pStyle w:val="Normale1"/>
        <w:ind w:left="284"/>
        <w:jc w:val="both"/>
      </w:pPr>
      <w:r>
        <w:rPr>
          <w:rFonts w:ascii="Arial" w:eastAsia="Arial" w:hAnsi="Arial" w:cs="Arial"/>
          <w:b/>
        </w:rPr>
        <w:t>L’accettazione della mobilità è un serio impegno assunto dal candidato. Si invitano, pertanto, gli studenti idonei a limitare le rinunce dopo l’accettazione o all’inizio del periodo di mobilità a casi gravi e comprovati di forza maggiore, che dovranno essere comunicati per iscritto e debitamente giustificati per consentire al primo candidato di riserva il subentro in tempo utile.</w:t>
      </w:r>
    </w:p>
    <w:p w:rsidR="004C1FA6" w:rsidRDefault="004C1FA6">
      <w:pPr>
        <w:pStyle w:val="Normale1"/>
        <w:ind w:left="284"/>
        <w:jc w:val="both"/>
      </w:pPr>
    </w:p>
    <w:p w:rsidR="004C1FA6" w:rsidRDefault="004C1FA6">
      <w:pPr>
        <w:pStyle w:val="Normale1"/>
      </w:pPr>
    </w:p>
    <w:p w:rsidR="004C1FA6" w:rsidRDefault="004C1FA6">
      <w:pPr>
        <w:pStyle w:val="Normale1"/>
      </w:pPr>
    </w:p>
    <w:p w:rsidR="004C1FA6" w:rsidRDefault="00CE022F">
      <w:pPr>
        <w:pStyle w:val="Normale1"/>
        <w:ind w:left="284"/>
      </w:pPr>
      <w:r>
        <w:rPr>
          <w:rFonts w:ascii="Arial" w:eastAsia="Arial" w:hAnsi="Arial" w:cs="Arial"/>
          <w:b/>
        </w:rPr>
        <w:t>8. INFORMAZIONI PROCEDURALI E LOGISTICHE </w:t>
      </w:r>
    </w:p>
    <w:p w:rsidR="004C1FA6" w:rsidRDefault="00CE022F">
      <w:pPr>
        <w:pStyle w:val="Normale1"/>
        <w:ind w:left="284"/>
        <w:jc w:val="both"/>
      </w:pPr>
      <w:r>
        <w:rPr>
          <w:rFonts w:ascii="Arial" w:eastAsia="Arial" w:hAnsi="Arial" w:cs="Arial"/>
          <w:b/>
        </w:rPr>
        <w:br/>
      </w:r>
      <w:r>
        <w:rPr>
          <w:rFonts w:ascii="Arial" w:eastAsia="Arial" w:hAnsi="Arial" w:cs="Arial"/>
        </w:rPr>
        <w:t>- Per poter formulare, con consapevolezza, il progetto curriculare che si intenderà svolgere presso l’Università di destinazione, gli studenti dovranno consultare prima di formulare la domanda le informazioni disponibili nei siti internet delle sedi ospitanti. Tali informazioni saranno vincolanti anche ai fini dell’assegnazione della mobilità.</w:t>
      </w:r>
    </w:p>
    <w:p w:rsidR="004C1FA6" w:rsidRDefault="004C1FA6">
      <w:pPr>
        <w:pStyle w:val="Normale1"/>
        <w:ind w:left="284"/>
      </w:pPr>
    </w:p>
    <w:p w:rsidR="004C1FA6" w:rsidRDefault="00CE022F">
      <w:pPr>
        <w:pStyle w:val="Normale1"/>
        <w:ind w:left="284"/>
        <w:rPr>
          <w:rFonts w:ascii="Arial" w:eastAsia="Arial" w:hAnsi="Arial" w:cs="Arial"/>
        </w:rPr>
      </w:pPr>
      <w:r>
        <w:rPr>
          <w:rFonts w:ascii="Arial" w:eastAsia="Arial" w:hAnsi="Arial" w:cs="Arial"/>
        </w:rPr>
        <w:t>- Per lo svolgimento di eventuali tesi di Laurea, di Dottorato o di Specializzazione, dopo aver consultato il sito internet della sede ospitante, il progetto va concordato preventivamente con il promotore dell’accordo e Responsabile Accademico della Mobilità, sulla base degli accordi stabiliti con il docente partner dell’Università straniera. </w:t>
      </w:r>
      <w:r>
        <w:rPr>
          <w:rFonts w:ascii="Arial" w:eastAsia="Arial" w:hAnsi="Arial" w:cs="Arial"/>
        </w:rPr>
        <w:br/>
      </w:r>
      <w:r>
        <w:rPr>
          <w:rFonts w:ascii="Arial" w:eastAsia="Arial" w:hAnsi="Arial" w:cs="Arial"/>
        </w:rPr>
        <w:br/>
        <w:t>- Gli studenti Erasmus, alla fine dei corsi, dovranno sostenere le prove di verifica secondo i programmi e le modalità previste per gli studenti delle Università ospitanti. Il riconoscimento delle attività didattiche svolte avverrà come indicato dalla Facoltà e dal “Regolamento per la Mobilità studentesca e il riconoscimento di periodo di studio e formazione all’estero”. I crediti relativi agli esami sostenuti presso le Università ospitanti dovranno essere acquisiti nel rispetto degli eventuali vincoli di propedeuticità previsti dall’ordinamento del proprio corso di Laurea.</w:t>
      </w:r>
    </w:p>
    <w:p w:rsidR="00AF6A80" w:rsidRDefault="00AF6A80">
      <w:pPr>
        <w:pStyle w:val="Normale1"/>
        <w:ind w:left="284"/>
        <w:rPr>
          <w:rFonts w:ascii="Arial" w:eastAsia="Arial" w:hAnsi="Arial" w:cs="Arial"/>
        </w:rPr>
      </w:pPr>
    </w:p>
    <w:p w:rsidR="00AF6A80" w:rsidRPr="004554E8" w:rsidRDefault="00AF6A80" w:rsidP="00AF6A80">
      <w:pPr>
        <w:pStyle w:val="Normale1"/>
        <w:numPr>
          <w:ilvl w:val="0"/>
          <w:numId w:val="1"/>
        </w:numPr>
        <w:ind w:left="426" w:hanging="142"/>
        <w:rPr>
          <w:rFonts w:ascii="Arial" w:hAnsi="Arial" w:cs="Arial"/>
        </w:rPr>
      </w:pPr>
      <w:r w:rsidRPr="004554E8">
        <w:rPr>
          <w:rFonts w:ascii="Arial" w:hAnsi="Arial" w:cs="Arial"/>
        </w:rPr>
        <w:t>Non ci sarà altro Bando Erasmus, oltre a questo, anche nel caso in cui rimangano borse residue.</w:t>
      </w:r>
    </w:p>
    <w:p w:rsidR="004C1FA6" w:rsidRDefault="00CE022F">
      <w:pPr>
        <w:pStyle w:val="Normale1"/>
        <w:ind w:left="284"/>
        <w:jc w:val="both"/>
      </w:pPr>
      <w:r>
        <w:rPr>
          <w:rFonts w:ascii="Arial" w:eastAsia="Arial" w:hAnsi="Arial" w:cs="Arial"/>
        </w:rPr>
        <w:br/>
        <w:t>- Solo raramente le Università straniere offrono ospitalità agli studenti Erasmus presso i propri collegi. Eventuali informazioni sono reperibili alle pagine web delle Università partner. Lo studente è tenuto a verificare, visitando il sito internet dell'Università ospitante, eventuali scadenze o procedure specifiche da seguire.</w:t>
      </w:r>
    </w:p>
    <w:p w:rsidR="004C1FA6" w:rsidRDefault="00CE022F">
      <w:pPr>
        <w:pStyle w:val="Normale1"/>
        <w:spacing w:before="100" w:after="100"/>
        <w:ind w:left="284"/>
        <w:jc w:val="both"/>
      </w:pPr>
      <w:r>
        <w:rPr>
          <w:rFonts w:ascii="Arial" w:eastAsia="Arial" w:hAnsi="Arial" w:cs="Arial"/>
        </w:rPr>
        <w:t xml:space="preserve">- Gli studenti idonei per i Paesi Candidati all’Adesione dovranno consultare il RAEF per l’acquisizione delle informazioni necessarie relative sia all’assistenza sanitaria che al soggiorno (visto del Consolato del Paese ospitante, certificato Erasmus, dichiarazione Università ospitante, ecc.). </w:t>
      </w:r>
    </w:p>
    <w:p w:rsidR="004C1FA6" w:rsidRDefault="00CE022F">
      <w:pPr>
        <w:pStyle w:val="Normale1"/>
        <w:spacing w:before="100" w:after="100"/>
        <w:ind w:left="284"/>
        <w:jc w:val="both"/>
      </w:pPr>
      <w:r>
        <w:rPr>
          <w:rFonts w:ascii="Arial" w:eastAsia="Arial" w:hAnsi="Arial" w:cs="Arial"/>
        </w:rPr>
        <w:t xml:space="preserve">- L’assicurazione per gli infortuni e la responsabilità civile di cui lo studente beneficia automaticamente con l’iscrizione all’Ateneo viene estesa, con le stesse modalità, per tutto il periodo di permanenza all’estero presso l’Istituzione di destinazione </w:t>
      </w:r>
      <w:hyperlink r:id="rId17">
        <w:r>
          <w:rPr>
            <w:rFonts w:ascii="Arial" w:eastAsia="Arial" w:hAnsi="Arial" w:cs="Arial"/>
            <w:u w:val="single"/>
          </w:rPr>
          <w:t>http://www.uniroma1.it/ateneo/amministrazione/aree-e-uffici/direzione-risorse-umane-finanziarie-e-patrimoniali/area/polizze</w:t>
        </w:r>
      </w:hyperlink>
      <w:r>
        <w:rPr>
          <w:rFonts w:ascii="Arial" w:eastAsia="Arial" w:hAnsi="Arial" w:cs="Arial"/>
        </w:rPr>
        <w:t xml:space="preserve">. </w:t>
      </w:r>
    </w:p>
    <w:p w:rsidR="004C1FA6" w:rsidRDefault="00CE022F">
      <w:pPr>
        <w:pStyle w:val="Normale1"/>
        <w:spacing w:before="100" w:after="100"/>
        <w:ind w:left="284"/>
        <w:jc w:val="both"/>
      </w:pPr>
      <w:bookmarkStart w:id="1" w:name="_30j0zll" w:colFirst="0" w:colLast="0"/>
      <w:bookmarkEnd w:id="1"/>
      <w:r>
        <w:rPr>
          <w:rFonts w:ascii="Arial" w:eastAsia="Arial" w:hAnsi="Arial" w:cs="Arial"/>
        </w:rPr>
        <w:t>- Gli studenti in mobilità sono tenuti a provvedere autonomamente a garantirsi adeguata copertura sanitaria durante la permanenza all’estero</w:t>
      </w:r>
      <w:r>
        <w:rPr>
          <w:rFonts w:ascii="Arial" w:eastAsia="Arial" w:hAnsi="Arial" w:cs="Arial"/>
          <w:sz w:val="24"/>
          <w:szCs w:val="24"/>
        </w:rPr>
        <w:t xml:space="preserve"> </w:t>
      </w:r>
      <w:r>
        <w:rPr>
          <w:rFonts w:ascii="Arial" w:eastAsia="Arial" w:hAnsi="Arial" w:cs="Arial"/>
        </w:rPr>
        <w:t xml:space="preserve">e assicurazione di viaggio, secondo le modalità previste dal Paese ospitante </w:t>
      </w:r>
      <w:hyperlink r:id="rId18">
        <w:r>
          <w:rPr>
            <w:rFonts w:ascii="Arial" w:eastAsia="Arial" w:hAnsi="Arial" w:cs="Arial"/>
            <w:u w:val="single"/>
          </w:rPr>
          <w:t xml:space="preserve">http://www.salute.gov.it/portale/temi/p2_6.jsp?lingua=italiano&amp;id=897 </w:t>
        </w:r>
        <w:r>
          <w:rPr>
            <w:rFonts w:ascii="Arial" w:eastAsia="Arial" w:hAnsi="Arial" w:cs="Arial"/>
            <w:u w:val="single"/>
          </w:rPr>
          <w:br/>
          <w:t>&amp;area=Assistenza%20sanitaria&amp;menu=italiani</w:t>
        </w:r>
      </w:hyperlink>
      <w:r>
        <w:rPr>
          <w:rFonts w:ascii="Arial" w:eastAsia="Arial" w:hAnsi="Arial" w:cs="Arial"/>
          <w:sz w:val="24"/>
          <w:szCs w:val="24"/>
        </w:rPr>
        <w:t>.</w:t>
      </w:r>
    </w:p>
    <w:p w:rsidR="00667606" w:rsidRDefault="00667606">
      <w:pPr>
        <w:pStyle w:val="Normale1"/>
        <w:ind w:left="284"/>
        <w:jc w:val="both"/>
        <w:rPr>
          <w:rFonts w:ascii="Arial" w:eastAsia="Arial" w:hAnsi="Arial" w:cs="Arial"/>
          <w:b/>
        </w:rPr>
      </w:pPr>
    </w:p>
    <w:p w:rsidR="004C1FA6" w:rsidRDefault="00CE022F">
      <w:pPr>
        <w:pStyle w:val="Normale1"/>
        <w:ind w:left="284"/>
        <w:jc w:val="both"/>
      </w:pPr>
      <w:r>
        <w:rPr>
          <w:rFonts w:ascii="Arial" w:eastAsia="Arial" w:hAnsi="Arial" w:cs="Arial"/>
          <w:b/>
        </w:rPr>
        <w:lastRenderedPageBreak/>
        <w:t>9. CONTROLLI</w:t>
      </w:r>
      <w:r>
        <w:rPr>
          <w:rFonts w:ascii="Arial" w:eastAsia="Arial" w:hAnsi="Arial" w:cs="Arial"/>
          <w:b/>
          <w:sz w:val="22"/>
          <w:szCs w:val="22"/>
        </w:rPr>
        <w:t> </w:t>
      </w:r>
    </w:p>
    <w:p w:rsidR="004C1FA6" w:rsidRDefault="004C1FA6">
      <w:pPr>
        <w:pStyle w:val="Normale1"/>
        <w:ind w:left="284"/>
        <w:jc w:val="both"/>
      </w:pPr>
    </w:p>
    <w:p w:rsidR="004C1FA6" w:rsidRDefault="00CE022F">
      <w:pPr>
        <w:pStyle w:val="Normale1"/>
        <w:spacing w:line="250" w:lineRule="auto"/>
        <w:ind w:left="284" w:right="-54"/>
        <w:jc w:val="both"/>
      </w:pPr>
      <w:r>
        <w:rPr>
          <w:rFonts w:ascii="Arial" w:eastAsia="Arial" w:hAnsi="Arial" w:cs="Arial"/>
        </w:rPr>
        <w:t>Si informa che, in base all’art. 71 del DPR 445 del 28/12/2000, l’Amministrazione procederà ad effettuare idonei controlli, anche a campione, e in tutti i casi in cui sorgano fondati dubbi sulla veridicità delle autocertificazioni.</w:t>
      </w:r>
    </w:p>
    <w:p w:rsidR="004C1FA6" w:rsidRDefault="00CE022F">
      <w:pPr>
        <w:pStyle w:val="Normale1"/>
        <w:spacing w:before="100" w:after="100"/>
        <w:ind w:left="284"/>
        <w:jc w:val="both"/>
      </w:pPr>
      <w:r>
        <w:rPr>
          <w:rFonts w:ascii="Arial" w:eastAsia="Arial" w:hAnsi="Arial" w:cs="Arial"/>
          <w:b/>
        </w:rPr>
        <w:t>10</w:t>
      </w:r>
      <w:r>
        <w:rPr>
          <w:rFonts w:ascii="Arial" w:eastAsia="Arial" w:hAnsi="Arial" w:cs="Arial"/>
        </w:rPr>
        <w:t xml:space="preserve">. </w:t>
      </w:r>
      <w:r>
        <w:rPr>
          <w:rFonts w:ascii="Arial" w:eastAsia="Arial" w:hAnsi="Arial" w:cs="Arial"/>
          <w:b/>
        </w:rPr>
        <w:t>TRATTAMENTO DEI DATI PERSONALI</w:t>
      </w:r>
    </w:p>
    <w:p w:rsidR="004C1FA6" w:rsidRDefault="00CE022F">
      <w:pPr>
        <w:pStyle w:val="Normale1"/>
        <w:spacing w:line="250" w:lineRule="auto"/>
        <w:ind w:left="284" w:right="-54"/>
        <w:jc w:val="both"/>
      </w:pPr>
      <w:r>
        <w:rPr>
          <w:rFonts w:ascii="Arial" w:eastAsia="Arial" w:hAnsi="Arial" w:cs="Arial"/>
        </w:rPr>
        <w:t xml:space="preserve">I dati personali forniti dai candidati saranno trattati per le finalità di gestione delle selezioni e delle successive fasi del progetto, nell’ambito e per i fini istituzionali della Pubblica Amministrazione (D. </w:t>
      </w:r>
      <w:proofErr w:type="spellStart"/>
      <w:r>
        <w:rPr>
          <w:rFonts w:ascii="Arial" w:eastAsia="Arial" w:hAnsi="Arial" w:cs="Arial"/>
        </w:rPr>
        <w:t>lgs</w:t>
      </w:r>
      <w:proofErr w:type="spellEnd"/>
      <w:r>
        <w:rPr>
          <w:rFonts w:ascii="Arial" w:eastAsia="Arial" w:hAnsi="Arial" w:cs="Arial"/>
        </w:rPr>
        <w:t>. 196/2003).</w:t>
      </w:r>
    </w:p>
    <w:p w:rsidR="004C1FA6" w:rsidRDefault="00CE022F">
      <w:pPr>
        <w:pStyle w:val="Normale1"/>
        <w:ind w:left="284"/>
        <w:jc w:val="both"/>
      </w:pPr>
      <w:r>
        <w:rPr>
          <w:rFonts w:ascii="Arial" w:eastAsia="Arial" w:hAnsi="Arial" w:cs="Arial"/>
        </w:rPr>
        <w:br/>
      </w:r>
      <w:r>
        <w:rPr>
          <w:rFonts w:ascii="Arial" w:eastAsia="Arial" w:hAnsi="Arial" w:cs="Arial"/>
          <w:b/>
        </w:rPr>
        <w:t>11. RESPONSABILE DEL PROCEDIMENTO</w:t>
      </w:r>
    </w:p>
    <w:p w:rsidR="004C1FA6" w:rsidRDefault="004C1FA6">
      <w:pPr>
        <w:pStyle w:val="Normale1"/>
        <w:ind w:left="284"/>
      </w:pPr>
    </w:p>
    <w:p w:rsidR="004C1FA6" w:rsidRDefault="00CE022F">
      <w:pPr>
        <w:pStyle w:val="Normale1"/>
        <w:spacing w:before="100" w:after="100"/>
        <w:ind w:left="284"/>
        <w:jc w:val="both"/>
        <w:rPr>
          <w:rFonts w:ascii="Arial" w:eastAsia="Arial" w:hAnsi="Arial" w:cs="Arial"/>
          <w:b/>
        </w:rPr>
      </w:pPr>
      <w:r>
        <w:rPr>
          <w:rFonts w:ascii="Arial" w:eastAsia="Arial" w:hAnsi="Arial" w:cs="Arial"/>
        </w:rPr>
        <w:t xml:space="preserve">Ai sensi della Legge 7.8.1990, n. 241 e successive modifiche e integrazioni, il responsabile del procedimento è il Responsabile Amministrativo </w:t>
      </w:r>
      <w:proofErr w:type="spellStart"/>
      <w:r>
        <w:rPr>
          <w:rFonts w:ascii="Arial" w:eastAsia="Arial" w:hAnsi="Arial" w:cs="Arial"/>
        </w:rPr>
        <w:t>Erasmus</w:t>
      </w:r>
      <w:proofErr w:type="spellEnd"/>
      <w:r>
        <w:rPr>
          <w:rFonts w:ascii="Arial" w:eastAsia="Arial" w:hAnsi="Arial" w:cs="Arial"/>
        </w:rPr>
        <w:t xml:space="preserve">  Sig.ra Sabina </w:t>
      </w:r>
      <w:proofErr w:type="spellStart"/>
      <w:r>
        <w:rPr>
          <w:rFonts w:ascii="Arial" w:eastAsia="Arial" w:hAnsi="Arial" w:cs="Arial"/>
        </w:rPr>
        <w:t>Imbimbo</w:t>
      </w:r>
      <w:proofErr w:type="spellEnd"/>
      <w:r>
        <w:rPr>
          <w:rFonts w:ascii="Arial" w:eastAsia="Arial" w:hAnsi="Arial" w:cs="Arial"/>
        </w:rPr>
        <w:t xml:space="preserve"> (erasmusutorfarmacia@uniroma1.it) </w:t>
      </w:r>
      <w:r>
        <w:rPr>
          <w:rFonts w:ascii="Arial" w:eastAsia="Arial" w:hAnsi="Arial" w:cs="Arial"/>
          <w:b/>
        </w:rPr>
        <w:t xml:space="preserve"> - Ufficio </w:t>
      </w:r>
      <w:proofErr w:type="spellStart"/>
      <w:r>
        <w:rPr>
          <w:rFonts w:ascii="Arial" w:eastAsia="Arial" w:hAnsi="Arial" w:cs="Arial"/>
          <w:b/>
        </w:rPr>
        <w:t>Erasmus</w:t>
      </w:r>
      <w:proofErr w:type="spellEnd"/>
      <w:r>
        <w:rPr>
          <w:rFonts w:ascii="Arial" w:eastAsia="Arial" w:hAnsi="Arial" w:cs="Arial"/>
          <w:b/>
        </w:rPr>
        <w:t xml:space="preserve"> di Facoltà, Area Farmacia, Ex Presidenza Farmacia (Città Universitaria), adiacenze Aula III “Ex </w:t>
      </w:r>
      <w:r w:rsidRPr="00CE54DF">
        <w:rPr>
          <w:rFonts w:ascii="Arial" w:eastAsia="Arial" w:hAnsi="Arial" w:cs="Arial"/>
          <w:b/>
        </w:rPr>
        <w:t xml:space="preserve">Ingegneria” </w:t>
      </w:r>
      <w:proofErr w:type="spellStart"/>
      <w:r w:rsidRPr="00CE54DF">
        <w:rPr>
          <w:rFonts w:ascii="Arial" w:eastAsia="Arial" w:hAnsi="Arial" w:cs="Arial"/>
          <w:b/>
        </w:rPr>
        <w:t>Edif</w:t>
      </w:r>
      <w:proofErr w:type="spellEnd"/>
      <w:r w:rsidRPr="00CE54DF">
        <w:rPr>
          <w:rFonts w:ascii="Arial" w:eastAsia="Arial" w:hAnsi="Arial" w:cs="Arial"/>
          <w:b/>
        </w:rPr>
        <w:t>. CU034   orario di ricevimento : LUN – MERC – GIOV dalle 10:30</w:t>
      </w:r>
      <w:r>
        <w:rPr>
          <w:rFonts w:ascii="Arial" w:eastAsia="Arial" w:hAnsi="Arial" w:cs="Arial"/>
          <w:b/>
        </w:rPr>
        <w:t xml:space="preserve"> alle 12:00, che provvederà a raccogliere i documenti da sottoporre al vaglio del Coordinatore Accademico per la Mobilità di Facoltà, Area Farmacia, Prof. Luciano </w:t>
      </w:r>
      <w:proofErr w:type="spellStart"/>
      <w:r>
        <w:rPr>
          <w:rFonts w:ascii="Arial" w:eastAsia="Arial" w:hAnsi="Arial" w:cs="Arial"/>
          <w:b/>
        </w:rPr>
        <w:t>Saso</w:t>
      </w:r>
      <w:proofErr w:type="spellEnd"/>
      <w:r>
        <w:rPr>
          <w:rFonts w:ascii="Arial" w:eastAsia="Arial" w:hAnsi="Arial" w:cs="Arial"/>
          <w:b/>
        </w:rPr>
        <w:t>.</w:t>
      </w:r>
    </w:p>
    <w:p w:rsidR="00667606" w:rsidRDefault="00667606">
      <w:pPr>
        <w:pStyle w:val="Normale1"/>
        <w:spacing w:before="100" w:after="100"/>
        <w:ind w:left="284"/>
        <w:jc w:val="both"/>
      </w:pPr>
    </w:p>
    <w:p w:rsidR="004C1FA6" w:rsidRDefault="00CE022F">
      <w:pPr>
        <w:pStyle w:val="Normale1"/>
        <w:ind w:left="284"/>
      </w:pPr>
      <w:r>
        <w:rPr>
          <w:rFonts w:ascii="Arial" w:eastAsia="Arial" w:hAnsi="Arial" w:cs="Arial"/>
          <w:b/>
        </w:rPr>
        <w:t>12. TERMINE DEL PROCEDIMENTO</w:t>
      </w:r>
    </w:p>
    <w:p w:rsidR="004C1FA6" w:rsidRDefault="004C1FA6">
      <w:pPr>
        <w:pStyle w:val="Normale1"/>
        <w:ind w:left="284"/>
      </w:pPr>
    </w:p>
    <w:p w:rsidR="004C1FA6" w:rsidRDefault="00CE022F">
      <w:pPr>
        <w:pStyle w:val="Normale1"/>
        <w:ind w:left="284"/>
      </w:pPr>
      <w:r>
        <w:rPr>
          <w:rFonts w:ascii="Arial" w:eastAsia="Arial" w:hAnsi="Arial" w:cs="Arial"/>
        </w:rPr>
        <w:t xml:space="preserve"> La graduatoria definitiva sarà pubblicata entro la fine del mese di Aprile 2017.</w:t>
      </w:r>
    </w:p>
    <w:p w:rsidR="004C1FA6" w:rsidRDefault="004C1FA6">
      <w:pPr>
        <w:pStyle w:val="Normale1"/>
        <w:ind w:left="284"/>
      </w:pPr>
    </w:p>
    <w:p w:rsidR="004C1FA6" w:rsidRPr="00CE54DF" w:rsidRDefault="00CE54DF">
      <w:pPr>
        <w:pStyle w:val="Normale1"/>
        <w:ind w:left="284"/>
        <w:rPr>
          <w:rFonts w:ascii="Arial" w:hAnsi="Arial" w:cs="Arial"/>
        </w:rPr>
      </w:pPr>
      <w:r>
        <w:rPr>
          <w:rFonts w:ascii="Arial" w:hAnsi="Arial" w:cs="Arial"/>
        </w:rPr>
        <w:t>Il presente bando sarà messo a disposizione anche in lingua Inglese.</w:t>
      </w:r>
    </w:p>
    <w:p w:rsidR="004C1FA6" w:rsidRPr="00CE54DF" w:rsidRDefault="004C1FA6" w:rsidP="00CE54DF">
      <w:pPr>
        <w:pStyle w:val="Normale1"/>
        <w:rPr>
          <w:color w:val="000000" w:themeColor="text1"/>
        </w:rPr>
      </w:pPr>
    </w:p>
    <w:p w:rsidR="004C1FA6" w:rsidRDefault="004C1FA6">
      <w:pPr>
        <w:pStyle w:val="Normale1"/>
        <w:ind w:left="284"/>
      </w:pPr>
    </w:p>
    <w:p w:rsidR="004C1FA6" w:rsidRDefault="00CE022F">
      <w:pPr>
        <w:pStyle w:val="Normale1"/>
        <w:ind w:left="284"/>
      </w:pPr>
      <w:r>
        <w:rPr>
          <w:rFonts w:ascii="Arial" w:eastAsia="Arial" w:hAnsi="Arial" w:cs="Arial"/>
        </w:rPr>
        <w:t>Roma</w:t>
      </w:r>
      <w:r w:rsidR="00AA2D2C">
        <w:rPr>
          <w:rFonts w:ascii="Arial" w:eastAsia="Arial" w:hAnsi="Arial" w:cs="Arial"/>
        </w:rPr>
        <w:t>, 3 febbraio 2017</w:t>
      </w:r>
      <w:r>
        <w:rPr>
          <w:rFonts w:ascii="Arial" w:eastAsia="Arial" w:hAnsi="Arial" w:cs="Arial"/>
        </w:rPr>
        <w:t xml:space="preserve"> </w:t>
      </w:r>
    </w:p>
    <w:p w:rsidR="00116139" w:rsidRDefault="00116139">
      <w:pPr>
        <w:pStyle w:val="Normale1"/>
        <w:ind w:left="284"/>
        <w:rPr>
          <w:rFonts w:ascii="Arial" w:eastAsia="Arial" w:hAnsi="Arial" w:cs="Arial"/>
        </w:rPr>
      </w:pPr>
    </w:p>
    <w:p w:rsidR="00116139" w:rsidRDefault="00116139">
      <w:pPr>
        <w:pStyle w:val="Normale1"/>
        <w:ind w:left="284"/>
        <w:rPr>
          <w:rFonts w:ascii="Arial" w:eastAsia="Arial" w:hAnsi="Arial" w:cs="Arial"/>
        </w:rPr>
      </w:pPr>
    </w:p>
    <w:p w:rsidR="00116139" w:rsidRDefault="00116139">
      <w:pPr>
        <w:pStyle w:val="Normale1"/>
        <w:ind w:left="284"/>
        <w:rPr>
          <w:rFonts w:ascii="Arial" w:eastAsia="Arial" w:hAnsi="Arial" w:cs="Arial"/>
        </w:rPr>
      </w:pPr>
    </w:p>
    <w:p w:rsidR="004C1FA6" w:rsidRDefault="00CE022F">
      <w:pPr>
        <w:pStyle w:val="Normale1"/>
        <w:ind w:left="284"/>
      </w:pPr>
      <w:r>
        <w:rPr>
          <w:rFonts w:ascii="Arial" w:eastAsia="Arial" w:hAnsi="Arial" w:cs="Arial"/>
        </w:rPr>
        <w:t xml:space="preserve">Il Preside </w:t>
      </w:r>
    </w:p>
    <w:p w:rsidR="00667606" w:rsidRPr="00815C8E" w:rsidRDefault="00CE022F" w:rsidP="00815C8E">
      <w:pPr>
        <w:pStyle w:val="Normale1"/>
        <w:ind w:left="284"/>
        <w:rPr>
          <w:rFonts w:ascii="Arial" w:eastAsia="Arial" w:hAnsi="Arial" w:cs="Arial"/>
        </w:rPr>
      </w:pPr>
      <w:r>
        <w:rPr>
          <w:rFonts w:ascii="Arial" w:eastAsia="Arial" w:hAnsi="Arial" w:cs="Arial"/>
        </w:rPr>
        <w:t>Prof. Vincenzo Vullo</w:t>
      </w:r>
    </w:p>
    <w:p w:rsidR="004C1FA6" w:rsidRDefault="004C1FA6">
      <w:pPr>
        <w:pStyle w:val="Normale1"/>
        <w:spacing w:before="100" w:after="100"/>
        <w:ind w:left="284"/>
      </w:pPr>
    </w:p>
    <w:p w:rsidR="004C1FA6" w:rsidRPr="00815C8E" w:rsidRDefault="00815C8E" w:rsidP="00815C8E">
      <w:pPr>
        <w:pStyle w:val="Normale1"/>
        <w:ind w:left="284"/>
        <w:rPr>
          <w:rFonts w:ascii="Arial" w:eastAsia="Arial" w:hAnsi="Arial" w:cs="Arial"/>
        </w:rPr>
      </w:pPr>
      <w:proofErr w:type="spellStart"/>
      <w:r>
        <w:rPr>
          <w:rFonts w:ascii="Arial" w:eastAsia="Arial" w:hAnsi="Arial" w:cs="Arial"/>
        </w:rPr>
        <w:t>Prot</w:t>
      </w:r>
      <w:proofErr w:type="spellEnd"/>
      <w:r>
        <w:rPr>
          <w:rFonts w:ascii="Arial" w:eastAsia="Arial" w:hAnsi="Arial" w:cs="Arial"/>
        </w:rPr>
        <w:t xml:space="preserve">.  </w:t>
      </w:r>
      <w:r w:rsidR="00F17C77">
        <w:rPr>
          <w:rFonts w:ascii="Arial" w:eastAsia="Arial" w:hAnsi="Arial" w:cs="Arial"/>
        </w:rPr>
        <w:t xml:space="preserve">206 </w:t>
      </w:r>
      <w:r w:rsidR="00CE022F" w:rsidRPr="00815C8E">
        <w:rPr>
          <w:rFonts w:ascii="Arial" w:eastAsia="Arial" w:hAnsi="Arial" w:cs="Arial"/>
        </w:rPr>
        <w:t xml:space="preserve">del </w:t>
      </w:r>
      <w:r w:rsidR="00FE5230" w:rsidRPr="00815C8E">
        <w:rPr>
          <w:rFonts w:ascii="Arial" w:eastAsia="Arial" w:hAnsi="Arial" w:cs="Arial"/>
        </w:rPr>
        <w:t xml:space="preserve"> </w:t>
      </w:r>
      <w:bookmarkStart w:id="2" w:name="_GoBack"/>
      <w:bookmarkEnd w:id="2"/>
      <w:r w:rsidR="00FE5230" w:rsidRPr="00815C8E">
        <w:rPr>
          <w:rFonts w:ascii="Arial" w:eastAsia="Arial" w:hAnsi="Arial" w:cs="Arial"/>
        </w:rPr>
        <w:t xml:space="preserve"> 01/02/2017</w:t>
      </w:r>
    </w:p>
    <w:p w:rsidR="00815C8E" w:rsidRDefault="00815C8E">
      <w:pPr>
        <w:pStyle w:val="Normale1"/>
        <w:spacing w:before="100" w:after="100"/>
        <w:ind w:left="284"/>
      </w:pPr>
    </w:p>
    <w:p w:rsidR="00815C8E" w:rsidRDefault="00815C8E">
      <w:pPr>
        <w:pStyle w:val="Normale1"/>
        <w:spacing w:before="100" w:after="100"/>
        <w:ind w:left="284"/>
      </w:pPr>
    </w:p>
    <w:p w:rsidR="004C1FA6" w:rsidRPr="00815C8E" w:rsidRDefault="00CE022F">
      <w:pPr>
        <w:pStyle w:val="Normale1"/>
        <w:spacing w:before="100" w:after="100"/>
        <w:ind w:left="284"/>
      </w:pPr>
      <w:r w:rsidRPr="00815C8E">
        <w:rPr>
          <w:rFonts w:ascii="Arial" w:eastAsia="Arial" w:hAnsi="Arial" w:cs="Arial"/>
          <w:b/>
        </w:rPr>
        <w:t>NOTE</w:t>
      </w:r>
    </w:p>
    <w:p w:rsidR="004C1FA6" w:rsidRPr="00815C8E" w:rsidRDefault="00CE022F" w:rsidP="00815C8E">
      <w:pPr>
        <w:pStyle w:val="Normale1"/>
        <w:spacing w:before="100" w:after="100"/>
        <w:ind w:left="284"/>
        <w:jc w:val="both"/>
        <w:rPr>
          <w:rFonts w:ascii="Arial" w:eastAsia="Arial" w:hAnsi="Arial" w:cs="Arial"/>
        </w:rPr>
      </w:pPr>
      <w:r w:rsidRPr="00815C8E">
        <w:rPr>
          <w:rFonts w:ascii="Arial" w:eastAsia="Arial" w:hAnsi="Arial" w:cs="Arial"/>
        </w:rPr>
        <w:t xml:space="preserve">(1) Gli studenti fruitori di mobilità Erasmus sono tenuti al versamento delle tasse di </w:t>
      </w:r>
      <w:r w:rsidRPr="00815C8E">
        <w:rPr>
          <w:rFonts w:ascii="Arial" w:eastAsia="Arial" w:hAnsi="Arial" w:cs="Arial"/>
        </w:rPr>
        <w:lastRenderedPageBreak/>
        <w:t>iscrizione all’Università degli Studi di Roma “La Sapienza”.</w:t>
      </w:r>
    </w:p>
    <w:p w:rsidR="004C1FA6" w:rsidRPr="00815C8E" w:rsidRDefault="00CE022F" w:rsidP="00815C8E">
      <w:pPr>
        <w:pStyle w:val="Normale1"/>
        <w:spacing w:before="100" w:after="100"/>
        <w:ind w:left="284"/>
        <w:jc w:val="both"/>
        <w:rPr>
          <w:rFonts w:ascii="Arial" w:eastAsia="Arial" w:hAnsi="Arial" w:cs="Arial"/>
        </w:rPr>
      </w:pPr>
      <w:r w:rsidRPr="00815C8E">
        <w:rPr>
          <w:rFonts w:ascii="Arial" w:eastAsia="Arial" w:hAnsi="Arial" w:cs="Arial"/>
        </w:rPr>
        <w:t>Qualora l’attività di studio da svolgere all’estero consista nell’attività di preparazione della tesi di laurea, lo studente non è tenuto al pagamento delle tasse di iscrizione al nuovo anno accademico (2017/2018) se presenta la domanda di laurea e consegue il titolo entro l’ultima sessione prevista per l’a.a.2016/2017.</w:t>
      </w:r>
    </w:p>
    <w:p w:rsidR="004C1FA6" w:rsidRPr="00815C8E" w:rsidRDefault="00CE022F" w:rsidP="00815C8E">
      <w:pPr>
        <w:pStyle w:val="Normale1"/>
        <w:spacing w:before="100" w:after="100"/>
        <w:ind w:left="284"/>
        <w:jc w:val="both"/>
        <w:rPr>
          <w:rFonts w:ascii="Arial" w:eastAsia="Arial" w:hAnsi="Arial" w:cs="Arial"/>
        </w:rPr>
      </w:pPr>
      <w:r w:rsidRPr="00815C8E">
        <w:rPr>
          <w:rFonts w:ascii="Arial" w:eastAsia="Arial" w:hAnsi="Arial" w:cs="Arial"/>
        </w:rPr>
        <w:t>Per gli studenti iscritti ai corsi di III livello (Dottorato e Scuole di Specializzazione) la cui data di perfezionamento dell'iscrizione relativa all'</w:t>
      </w:r>
      <w:proofErr w:type="spellStart"/>
      <w:r w:rsidRPr="00815C8E">
        <w:rPr>
          <w:rFonts w:ascii="Arial" w:eastAsia="Arial" w:hAnsi="Arial" w:cs="Arial"/>
        </w:rPr>
        <w:t>a.a.</w:t>
      </w:r>
      <w:proofErr w:type="spellEnd"/>
      <w:r w:rsidRPr="00815C8E">
        <w:rPr>
          <w:rFonts w:ascii="Arial" w:eastAsia="Arial" w:hAnsi="Arial" w:cs="Arial"/>
        </w:rPr>
        <w:t xml:space="preserve"> 2016/2017, come da manifesto/bando del corso di appartenenza dello studente, è successiva alla data di scadenza del presente bando, le rispettive domande di candidatura saranno accettate con riserva. </w:t>
      </w:r>
    </w:p>
    <w:p w:rsidR="004C1FA6" w:rsidRPr="00815C8E" w:rsidRDefault="00CE022F" w:rsidP="00815C8E">
      <w:pPr>
        <w:pStyle w:val="Normale1"/>
        <w:spacing w:before="100" w:after="100"/>
        <w:ind w:left="284"/>
        <w:jc w:val="both"/>
        <w:rPr>
          <w:rFonts w:ascii="Arial" w:eastAsia="Arial" w:hAnsi="Arial" w:cs="Arial"/>
        </w:rPr>
      </w:pPr>
      <w:r w:rsidRPr="00815C8E">
        <w:rPr>
          <w:rFonts w:ascii="Arial" w:eastAsia="Arial" w:hAnsi="Arial" w:cs="Arial"/>
        </w:rPr>
        <w:t>(2) 24 mesi per le lauree a ciclo unico.</w:t>
      </w:r>
    </w:p>
    <w:p w:rsidR="004C1FA6" w:rsidRPr="00815C8E" w:rsidRDefault="00CE022F" w:rsidP="00815C8E">
      <w:pPr>
        <w:pStyle w:val="Normale1"/>
        <w:spacing w:before="100" w:after="100"/>
        <w:ind w:left="284"/>
        <w:jc w:val="both"/>
        <w:rPr>
          <w:rFonts w:ascii="Arial" w:eastAsia="Arial" w:hAnsi="Arial" w:cs="Arial"/>
        </w:rPr>
      </w:pPr>
      <w:r w:rsidRPr="00815C8E">
        <w:rPr>
          <w:rFonts w:ascii="Arial" w:eastAsia="Arial" w:hAnsi="Arial" w:cs="Arial"/>
        </w:rPr>
        <w:t xml:space="preserve">(3) L’anno Erasmus inizia il 1° giugno 2017 e termina il 30 settembre 2018. </w:t>
      </w:r>
      <w:r w:rsidRPr="00815C8E">
        <w:rPr>
          <w:rFonts w:ascii="Arial" w:eastAsia="Arial" w:hAnsi="Arial" w:cs="Arial"/>
        </w:rPr>
        <w:br/>
        <w:t>La durata del periodo di studio da effettuare presso l’Università straniera con una mobilità Erasmus varia da un minimo di 3 mesi ad un massimo di 12 mesi compatibilmente con la durata delle eventuali esperienze  pregresse  valevoli  per il  calcolo dei   12   mesi   totali ammissibili per ciclo di studio.</w:t>
      </w:r>
    </w:p>
    <w:p w:rsidR="004C1FA6" w:rsidRPr="00815C8E" w:rsidRDefault="00CE022F" w:rsidP="00815C8E">
      <w:pPr>
        <w:pStyle w:val="Normale1"/>
        <w:spacing w:before="100" w:after="100"/>
        <w:ind w:left="284"/>
        <w:jc w:val="both"/>
        <w:rPr>
          <w:rFonts w:ascii="Arial" w:eastAsia="Arial" w:hAnsi="Arial" w:cs="Arial"/>
        </w:rPr>
      </w:pPr>
      <w:r w:rsidRPr="00815C8E">
        <w:rPr>
          <w:rFonts w:ascii="Arial" w:eastAsia="Arial" w:hAnsi="Arial" w:cs="Arial"/>
        </w:rPr>
        <w:t xml:space="preserve"> (4) I crediti dovranno essere acquisiti nel rispetto degli eventuali vincoli di propedeuticità previsti dall'ordinamento.</w:t>
      </w:r>
    </w:p>
    <w:p w:rsidR="004C1FA6" w:rsidRPr="00815C8E" w:rsidRDefault="00CE022F" w:rsidP="00815C8E">
      <w:pPr>
        <w:pStyle w:val="Normale1"/>
        <w:spacing w:before="100" w:after="100"/>
        <w:ind w:left="284"/>
        <w:jc w:val="both"/>
        <w:rPr>
          <w:rFonts w:ascii="Arial" w:eastAsia="Arial" w:hAnsi="Arial" w:cs="Arial"/>
        </w:rPr>
      </w:pPr>
      <w:r w:rsidRPr="00815C8E">
        <w:rPr>
          <w:rFonts w:ascii="Arial" w:eastAsia="Arial" w:hAnsi="Arial" w:cs="Arial"/>
        </w:rPr>
        <w:t xml:space="preserve"> (5) I test di valutazione verranno eseguiti online mediante la piattaforma Online </w:t>
      </w:r>
      <w:proofErr w:type="spellStart"/>
      <w:r w:rsidRPr="00815C8E">
        <w:rPr>
          <w:rFonts w:ascii="Arial" w:eastAsia="Arial" w:hAnsi="Arial" w:cs="Arial"/>
        </w:rPr>
        <w:t>Linguistic</w:t>
      </w:r>
      <w:proofErr w:type="spellEnd"/>
      <w:r w:rsidRPr="00815C8E">
        <w:rPr>
          <w:rFonts w:ascii="Arial" w:eastAsia="Arial" w:hAnsi="Arial" w:cs="Arial"/>
        </w:rPr>
        <w:t xml:space="preserve"> </w:t>
      </w:r>
      <w:proofErr w:type="spellStart"/>
      <w:r w:rsidRPr="00815C8E">
        <w:rPr>
          <w:rFonts w:ascii="Arial" w:eastAsia="Arial" w:hAnsi="Arial" w:cs="Arial"/>
        </w:rPr>
        <w:t>Support</w:t>
      </w:r>
      <w:proofErr w:type="spellEnd"/>
      <w:r w:rsidRPr="00815C8E">
        <w:rPr>
          <w:rFonts w:ascii="Arial" w:eastAsia="Arial" w:hAnsi="Arial" w:cs="Arial"/>
        </w:rPr>
        <w:t xml:space="preserve"> (OLS) secondo il Quadro europeo comune di riferimento per le lingue (CEFR). Sulla piattaforma linguistica on-line (OLS), la Commissione europea mette a disposizione corsi di auto apprendimento delle suddette lingue al fine di supportare gli studenti beneficiari di borsa/status Erasmus+ nella preparazione per il periodo di mobilità all’estero. L’accesso ai corsi avviene secondo le modalità che verranno direttamente comunicate agli studenti interessati in sede di firma del contratto.</w:t>
      </w:r>
    </w:p>
    <w:sectPr w:rsidR="004C1FA6" w:rsidRPr="00815C8E" w:rsidSect="004C1FA6">
      <w:headerReference w:type="default" r:id="rId19"/>
      <w:headerReference w:type="first" r:id="rId20"/>
      <w:footerReference w:type="first" r:id="rId21"/>
      <w:pgSz w:w="11900" w:h="16840"/>
      <w:pgMar w:top="2954" w:right="1418" w:bottom="2268" w:left="2268"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10" w:rsidRDefault="00F74910" w:rsidP="004C1FA6">
      <w:r>
        <w:separator/>
      </w:r>
    </w:p>
  </w:endnote>
  <w:endnote w:type="continuationSeparator" w:id="0">
    <w:p w:rsidR="00F74910" w:rsidRDefault="00F74910" w:rsidP="004C1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3A" w:rsidRDefault="00B1403A">
    <w:pPr>
      <w:pStyle w:val="Normale1"/>
      <w:tabs>
        <w:tab w:val="center" w:pos="4986"/>
        <w:tab w:val="right" w:pos="9972"/>
      </w:tabs>
      <w:spacing w:after="57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10" w:rsidRDefault="00F74910" w:rsidP="004C1FA6">
      <w:r>
        <w:separator/>
      </w:r>
    </w:p>
  </w:footnote>
  <w:footnote w:type="continuationSeparator" w:id="0">
    <w:p w:rsidR="00F74910" w:rsidRDefault="00F74910" w:rsidP="004C1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3A" w:rsidRDefault="00B1403A">
    <w:pPr>
      <w:pStyle w:val="Normale1"/>
      <w:tabs>
        <w:tab w:val="center" w:pos="4986"/>
        <w:tab w:val="right" w:pos="9972"/>
      </w:tabs>
      <w:spacing w:before="709"/>
    </w:pPr>
    <w:r>
      <w:rPr>
        <w:noProof/>
      </w:rPr>
      <w:drawing>
        <wp:inline distT="0" distB="0" distL="114300" distR="114300">
          <wp:extent cx="2522855" cy="16173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522855" cy="1617345"/>
                  </a:xfrm>
                  <a:prstGeom prst="rect">
                    <a:avLst/>
                  </a:prstGeom>
                  <a:ln/>
                </pic:spPr>
              </pic:pic>
            </a:graphicData>
          </a:graphic>
        </wp:inline>
      </w:drawing>
    </w:r>
  </w:p>
  <w:p w:rsidR="00B1403A" w:rsidRDefault="00B1403A">
    <w:pPr>
      <w:pStyle w:val="Normale1"/>
      <w:tabs>
        <w:tab w:val="center" w:pos="4986"/>
        <w:tab w:val="right" w:pos="9972"/>
      </w:tabs>
    </w:pPr>
  </w:p>
  <w:p w:rsidR="00B1403A" w:rsidRDefault="00B1403A">
    <w:pPr>
      <w:pStyle w:val="Normale1"/>
      <w:tabs>
        <w:tab w:val="center" w:pos="4986"/>
        <w:tab w:val="right" w:pos="9972"/>
      </w:tabs>
    </w:pPr>
  </w:p>
  <w:p w:rsidR="00B1403A" w:rsidRDefault="00B1403A">
    <w:pPr>
      <w:pStyle w:val="Normale1"/>
      <w:tabs>
        <w:tab w:val="center" w:pos="4986"/>
        <w:tab w:val="right" w:pos="9972"/>
      </w:tabs>
    </w:pPr>
  </w:p>
  <w:p w:rsidR="00B1403A" w:rsidRDefault="00B1403A">
    <w:pPr>
      <w:pStyle w:val="Normale1"/>
      <w:tabs>
        <w:tab w:val="center" w:pos="4986"/>
        <w:tab w:val="right" w:pos="9972"/>
      </w:tabs>
      <w:jc w:val="right"/>
    </w:pPr>
    <w:proofErr w:type="spellStart"/>
    <w:r>
      <w:rPr>
        <w:rFonts w:ascii="Arial" w:eastAsia="Arial" w:hAnsi="Arial" w:cs="Arial"/>
      </w:rPr>
      <w:t>Pag</w:t>
    </w:r>
    <w:proofErr w:type="spellEnd"/>
    <w:r>
      <w:rPr>
        <w:rFonts w:ascii="Arial" w:eastAsia="Arial" w:hAnsi="Arial" w:cs="Arial"/>
      </w:rPr>
      <w:t xml:space="preserve"> </w:t>
    </w:r>
    <w:fldSimple w:instr="PAGE">
      <w:r w:rsidR="00CE54DF">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03A" w:rsidRDefault="00B1403A">
    <w:pPr>
      <w:pStyle w:val="Normale1"/>
      <w:tabs>
        <w:tab w:val="center" w:pos="4986"/>
        <w:tab w:val="right" w:pos="9972"/>
      </w:tabs>
      <w:spacing w:before="709"/>
    </w:pPr>
    <w:r>
      <w:rPr>
        <w:noProof/>
      </w:rPr>
      <w:drawing>
        <wp:inline distT="0" distB="0" distL="114300" distR="114300">
          <wp:extent cx="2519680" cy="162560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2519680" cy="162560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C19"/>
    <w:multiLevelType w:val="multilevel"/>
    <w:tmpl w:val="B896E79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2160" w:firstLine="1800"/>
      </w:pPr>
      <w:rPr>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Letter"/>
      <w:lvlText w:val="%6."/>
      <w:lvlJc w:val="left"/>
      <w:pPr>
        <w:ind w:left="4320" w:firstLine="3960"/>
      </w:pPr>
      <w:rPr>
        <w:vertAlign w:val="baseline"/>
      </w:rPr>
    </w:lvl>
    <w:lvl w:ilvl="6">
      <w:start w:val="1"/>
      <w:numFmt w:val="lowerLetter"/>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Letter"/>
      <w:lvlText w:val="%9."/>
      <w:lvlJc w:val="left"/>
      <w:pPr>
        <w:ind w:left="6480" w:firstLine="6120"/>
      </w:pPr>
      <w:rPr>
        <w:vertAlign w:val="baseline"/>
      </w:rPr>
    </w:lvl>
  </w:abstractNum>
  <w:abstractNum w:abstractNumId="1">
    <w:nsid w:val="0974542D"/>
    <w:multiLevelType w:val="multilevel"/>
    <w:tmpl w:val="F5C06A7E"/>
    <w:lvl w:ilvl="0">
      <w:start w:val="1"/>
      <w:numFmt w:val="lowerLetter"/>
      <w:lvlText w:val="%1)"/>
      <w:lvlJc w:val="left"/>
      <w:pPr>
        <w:ind w:left="644" w:firstLine="284"/>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2">
    <w:nsid w:val="3CB411F8"/>
    <w:multiLevelType w:val="multilevel"/>
    <w:tmpl w:val="F2DA5136"/>
    <w:lvl w:ilvl="0">
      <w:numFmt w:val="bullet"/>
      <w:lvlText w:val="-"/>
      <w:lvlJc w:val="left"/>
      <w:pPr>
        <w:ind w:left="644" w:firstLine="284"/>
      </w:pPr>
      <w:rPr>
        <w:rFonts w:ascii="Arial" w:eastAsia="Arial" w:hAnsi="Arial" w:cs="Arial"/>
        <w:vertAlign w:val="baseline"/>
      </w:rPr>
    </w:lvl>
    <w:lvl w:ilvl="1">
      <w:start w:val="1"/>
      <w:numFmt w:val="bullet"/>
      <w:lvlText w:val="o"/>
      <w:lvlJc w:val="left"/>
      <w:pPr>
        <w:ind w:left="1364" w:firstLine="1004"/>
      </w:pPr>
      <w:rPr>
        <w:rFonts w:ascii="Arial" w:eastAsia="Arial" w:hAnsi="Arial" w:cs="Arial"/>
        <w:vertAlign w:val="baseline"/>
      </w:rPr>
    </w:lvl>
    <w:lvl w:ilvl="2">
      <w:start w:val="1"/>
      <w:numFmt w:val="bullet"/>
      <w:lvlText w:val="▪"/>
      <w:lvlJc w:val="left"/>
      <w:pPr>
        <w:ind w:left="2084" w:firstLine="1724"/>
      </w:pPr>
      <w:rPr>
        <w:rFonts w:ascii="Arial" w:eastAsia="Arial" w:hAnsi="Arial" w:cs="Arial"/>
        <w:vertAlign w:val="baseline"/>
      </w:rPr>
    </w:lvl>
    <w:lvl w:ilvl="3">
      <w:start w:val="1"/>
      <w:numFmt w:val="bullet"/>
      <w:lvlText w:val="●"/>
      <w:lvlJc w:val="left"/>
      <w:pPr>
        <w:ind w:left="2804" w:firstLine="2444"/>
      </w:pPr>
      <w:rPr>
        <w:rFonts w:ascii="Arial" w:eastAsia="Arial" w:hAnsi="Arial" w:cs="Arial"/>
        <w:vertAlign w:val="baseline"/>
      </w:rPr>
    </w:lvl>
    <w:lvl w:ilvl="4">
      <w:start w:val="1"/>
      <w:numFmt w:val="bullet"/>
      <w:lvlText w:val="o"/>
      <w:lvlJc w:val="left"/>
      <w:pPr>
        <w:ind w:left="3524" w:firstLine="3164"/>
      </w:pPr>
      <w:rPr>
        <w:rFonts w:ascii="Arial" w:eastAsia="Arial" w:hAnsi="Arial" w:cs="Arial"/>
        <w:vertAlign w:val="baseline"/>
      </w:rPr>
    </w:lvl>
    <w:lvl w:ilvl="5">
      <w:start w:val="1"/>
      <w:numFmt w:val="bullet"/>
      <w:lvlText w:val="▪"/>
      <w:lvlJc w:val="left"/>
      <w:pPr>
        <w:ind w:left="4244" w:firstLine="3884"/>
      </w:pPr>
      <w:rPr>
        <w:rFonts w:ascii="Arial" w:eastAsia="Arial" w:hAnsi="Arial" w:cs="Arial"/>
        <w:vertAlign w:val="baseline"/>
      </w:rPr>
    </w:lvl>
    <w:lvl w:ilvl="6">
      <w:start w:val="1"/>
      <w:numFmt w:val="bullet"/>
      <w:lvlText w:val="●"/>
      <w:lvlJc w:val="left"/>
      <w:pPr>
        <w:ind w:left="4964" w:firstLine="4604"/>
      </w:pPr>
      <w:rPr>
        <w:rFonts w:ascii="Arial" w:eastAsia="Arial" w:hAnsi="Arial" w:cs="Arial"/>
        <w:vertAlign w:val="baseline"/>
      </w:rPr>
    </w:lvl>
    <w:lvl w:ilvl="7">
      <w:start w:val="1"/>
      <w:numFmt w:val="bullet"/>
      <w:lvlText w:val="o"/>
      <w:lvlJc w:val="left"/>
      <w:pPr>
        <w:ind w:left="5684" w:firstLine="5324"/>
      </w:pPr>
      <w:rPr>
        <w:rFonts w:ascii="Arial" w:eastAsia="Arial" w:hAnsi="Arial" w:cs="Arial"/>
        <w:vertAlign w:val="baseline"/>
      </w:rPr>
    </w:lvl>
    <w:lvl w:ilvl="8">
      <w:start w:val="1"/>
      <w:numFmt w:val="bullet"/>
      <w:lvlText w:val="▪"/>
      <w:lvlJc w:val="left"/>
      <w:pPr>
        <w:ind w:left="6404" w:firstLine="6044"/>
      </w:pPr>
      <w:rPr>
        <w:rFonts w:ascii="Arial" w:eastAsia="Arial" w:hAnsi="Arial" w:cs="Arial"/>
        <w:vertAlign w:val="baseline"/>
      </w:rPr>
    </w:lvl>
  </w:abstractNum>
  <w:abstractNum w:abstractNumId="3">
    <w:nsid w:val="411E55DF"/>
    <w:multiLevelType w:val="multilevel"/>
    <w:tmpl w:val="3BAC9EF4"/>
    <w:lvl w:ilvl="0">
      <w:start w:val="1"/>
      <w:numFmt w:val="decimal"/>
      <w:lvlText w:val="%1)"/>
      <w:lvlJc w:val="left"/>
      <w:pPr>
        <w:ind w:left="360" w:firstLine="0"/>
      </w:pPr>
      <w:rPr>
        <w:vertAlign w:val="baseline"/>
      </w:rPr>
    </w:lvl>
    <w:lvl w:ilvl="1">
      <w:start w:val="1"/>
      <w:numFmt w:val="lowerLetter"/>
      <w:lvlText w:val="%2)"/>
      <w:lvlJc w:val="left"/>
      <w:pPr>
        <w:ind w:left="720" w:firstLine="360"/>
      </w:pPr>
      <w:rPr>
        <w:b w:val="0"/>
        <w:vertAlign w:val="baseline"/>
      </w:rPr>
    </w:lvl>
    <w:lvl w:ilvl="2">
      <w:start w:val="1"/>
      <w:numFmt w:val="low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4">
    <w:nsid w:val="617C2487"/>
    <w:multiLevelType w:val="multilevel"/>
    <w:tmpl w:val="17FA21F4"/>
    <w:lvl w:ilvl="0">
      <w:start w:val="1"/>
      <w:numFmt w:val="bullet"/>
      <w:lvlText w:val="o"/>
      <w:lvlJc w:val="left"/>
      <w:pPr>
        <w:ind w:left="1797" w:firstLine="1437"/>
      </w:pPr>
      <w:rPr>
        <w:rFonts w:ascii="Arial" w:eastAsia="Arial" w:hAnsi="Arial" w:cs="Arial"/>
        <w:vertAlign w:val="baseline"/>
      </w:rPr>
    </w:lvl>
    <w:lvl w:ilvl="1">
      <w:start w:val="1"/>
      <w:numFmt w:val="bullet"/>
      <w:lvlText w:val="o"/>
      <w:lvlJc w:val="left"/>
      <w:pPr>
        <w:ind w:left="2517" w:firstLine="2157"/>
      </w:pPr>
      <w:rPr>
        <w:rFonts w:ascii="Arial" w:eastAsia="Arial" w:hAnsi="Arial" w:cs="Arial"/>
        <w:vertAlign w:val="baseline"/>
      </w:rPr>
    </w:lvl>
    <w:lvl w:ilvl="2">
      <w:start w:val="1"/>
      <w:numFmt w:val="bullet"/>
      <w:lvlText w:val="▪"/>
      <w:lvlJc w:val="left"/>
      <w:pPr>
        <w:ind w:left="3237" w:firstLine="2877"/>
      </w:pPr>
      <w:rPr>
        <w:rFonts w:ascii="Arial" w:eastAsia="Arial" w:hAnsi="Arial" w:cs="Arial"/>
        <w:vertAlign w:val="baseline"/>
      </w:rPr>
    </w:lvl>
    <w:lvl w:ilvl="3">
      <w:start w:val="1"/>
      <w:numFmt w:val="bullet"/>
      <w:lvlText w:val="●"/>
      <w:lvlJc w:val="left"/>
      <w:pPr>
        <w:ind w:left="3957" w:firstLine="3597"/>
      </w:pPr>
      <w:rPr>
        <w:rFonts w:ascii="Arial" w:eastAsia="Arial" w:hAnsi="Arial" w:cs="Arial"/>
        <w:vertAlign w:val="baseline"/>
      </w:rPr>
    </w:lvl>
    <w:lvl w:ilvl="4">
      <w:start w:val="1"/>
      <w:numFmt w:val="bullet"/>
      <w:lvlText w:val="o"/>
      <w:lvlJc w:val="left"/>
      <w:pPr>
        <w:ind w:left="4677" w:firstLine="4317"/>
      </w:pPr>
      <w:rPr>
        <w:rFonts w:ascii="Arial" w:eastAsia="Arial" w:hAnsi="Arial" w:cs="Arial"/>
        <w:vertAlign w:val="baseline"/>
      </w:rPr>
    </w:lvl>
    <w:lvl w:ilvl="5">
      <w:start w:val="1"/>
      <w:numFmt w:val="bullet"/>
      <w:lvlText w:val="▪"/>
      <w:lvlJc w:val="left"/>
      <w:pPr>
        <w:ind w:left="5397" w:firstLine="5037"/>
      </w:pPr>
      <w:rPr>
        <w:rFonts w:ascii="Arial" w:eastAsia="Arial" w:hAnsi="Arial" w:cs="Arial"/>
        <w:vertAlign w:val="baseline"/>
      </w:rPr>
    </w:lvl>
    <w:lvl w:ilvl="6">
      <w:start w:val="1"/>
      <w:numFmt w:val="bullet"/>
      <w:lvlText w:val="●"/>
      <w:lvlJc w:val="left"/>
      <w:pPr>
        <w:ind w:left="6117" w:firstLine="5757"/>
      </w:pPr>
      <w:rPr>
        <w:rFonts w:ascii="Arial" w:eastAsia="Arial" w:hAnsi="Arial" w:cs="Arial"/>
        <w:vertAlign w:val="baseline"/>
      </w:rPr>
    </w:lvl>
    <w:lvl w:ilvl="7">
      <w:start w:val="1"/>
      <w:numFmt w:val="bullet"/>
      <w:lvlText w:val="o"/>
      <w:lvlJc w:val="left"/>
      <w:pPr>
        <w:ind w:left="6837" w:firstLine="6477"/>
      </w:pPr>
      <w:rPr>
        <w:rFonts w:ascii="Arial" w:eastAsia="Arial" w:hAnsi="Arial" w:cs="Arial"/>
        <w:vertAlign w:val="baseline"/>
      </w:rPr>
    </w:lvl>
    <w:lvl w:ilvl="8">
      <w:start w:val="1"/>
      <w:numFmt w:val="bullet"/>
      <w:lvlText w:val="▪"/>
      <w:lvlJc w:val="left"/>
      <w:pPr>
        <w:ind w:left="7557" w:firstLine="7197"/>
      </w:pPr>
      <w:rPr>
        <w:rFonts w:ascii="Arial" w:eastAsia="Arial" w:hAnsi="Arial" w:cs="Arial"/>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footnotePr>
    <w:footnote w:id="-1"/>
    <w:footnote w:id="0"/>
  </w:footnotePr>
  <w:endnotePr>
    <w:endnote w:id="-1"/>
    <w:endnote w:id="0"/>
  </w:endnotePr>
  <w:compat/>
  <w:rsids>
    <w:rsidRoot w:val="004C1FA6"/>
    <w:rsid w:val="000006B3"/>
    <w:rsid w:val="00017663"/>
    <w:rsid w:val="00096438"/>
    <w:rsid w:val="0011316A"/>
    <w:rsid w:val="00116139"/>
    <w:rsid w:val="0017735B"/>
    <w:rsid w:val="00197B25"/>
    <w:rsid w:val="00284AD8"/>
    <w:rsid w:val="00341E5E"/>
    <w:rsid w:val="003717E2"/>
    <w:rsid w:val="003D2E5E"/>
    <w:rsid w:val="003F7CA5"/>
    <w:rsid w:val="00436E1F"/>
    <w:rsid w:val="004554E8"/>
    <w:rsid w:val="00462A73"/>
    <w:rsid w:val="004C1FA6"/>
    <w:rsid w:val="0060577E"/>
    <w:rsid w:val="00667606"/>
    <w:rsid w:val="006C655A"/>
    <w:rsid w:val="006E3199"/>
    <w:rsid w:val="00753DB9"/>
    <w:rsid w:val="00815C8E"/>
    <w:rsid w:val="00870D2D"/>
    <w:rsid w:val="00874B0B"/>
    <w:rsid w:val="008C7024"/>
    <w:rsid w:val="008F77E4"/>
    <w:rsid w:val="008F7B04"/>
    <w:rsid w:val="0091055E"/>
    <w:rsid w:val="009A3AC8"/>
    <w:rsid w:val="00A8502F"/>
    <w:rsid w:val="00AA2D2C"/>
    <w:rsid w:val="00AD78F7"/>
    <w:rsid w:val="00AF6A80"/>
    <w:rsid w:val="00B0111E"/>
    <w:rsid w:val="00B1403A"/>
    <w:rsid w:val="00B169A1"/>
    <w:rsid w:val="00B55617"/>
    <w:rsid w:val="00B64AB6"/>
    <w:rsid w:val="00BF0552"/>
    <w:rsid w:val="00C62377"/>
    <w:rsid w:val="00CA27C9"/>
    <w:rsid w:val="00CA4E4C"/>
    <w:rsid w:val="00CB6370"/>
    <w:rsid w:val="00CD1DB9"/>
    <w:rsid w:val="00CE022F"/>
    <w:rsid w:val="00CE54DF"/>
    <w:rsid w:val="00D05844"/>
    <w:rsid w:val="00D92750"/>
    <w:rsid w:val="00DE7C0D"/>
    <w:rsid w:val="00DF3E10"/>
    <w:rsid w:val="00EF2E89"/>
    <w:rsid w:val="00EF5A59"/>
    <w:rsid w:val="00F17C77"/>
    <w:rsid w:val="00F20DA9"/>
    <w:rsid w:val="00F74910"/>
    <w:rsid w:val="00FA3727"/>
    <w:rsid w:val="00FE52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DA9"/>
  </w:style>
  <w:style w:type="paragraph" w:styleId="Titolo1">
    <w:name w:val="heading 1"/>
    <w:basedOn w:val="Normale1"/>
    <w:next w:val="Normale1"/>
    <w:rsid w:val="004C1FA6"/>
    <w:pPr>
      <w:keepNext/>
      <w:keepLines/>
      <w:spacing w:before="480" w:after="120"/>
      <w:contextualSpacing/>
      <w:outlineLvl w:val="0"/>
    </w:pPr>
    <w:rPr>
      <w:b/>
      <w:sz w:val="48"/>
      <w:szCs w:val="48"/>
    </w:rPr>
  </w:style>
  <w:style w:type="paragraph" w:styleId="Titolo2">
    <w:name w:val="heading 2"/>
    <w:basedOn w:val="Normale1"/>
    <w:next w:val="Normale1"/>
    <w:rsid w:val="004C1FA6"/>
    <w:pPr>
      <w:keepNext/>
      <w:keepLines/>
      <w:spacing w:before="360" w:after="80"/>
      <w:contextualSpacing/>
      <w:outlineLvl w:val="1"/>
    </w:pPr>
    <w:rPr>
      <w:b/>
      <w:sz w:val="36"/>
      <w:szCs w:val="36"/>
    </w:rPr>
  </w:style>
  <w:style w:type="paragraph" w:styleId="Titolo3">
    <w:name w:val="heading 3"/>
    <w:basedOn w:val="Normale1"/>
    <w:next w:val="Normale1"/>
    <w:rsid w:val="004C1FA6"/>
    <w:pPr>
      <w:keepNext/>
      <w:keepLines/>
      <w:spacing w:before="280" w:after="80"/>
      <w:contextualSpacing/>
      <w:outlineLvl w:val="2"/>
    </w:pPr>
    <w:rPr>
      <w:b/>
      <w:sz w:val="28"/>
      <w:szCs w:val="28"/>
    </w:rPr>
  </w:style>
  <w:style w:type="paragraph" w:styleId="Titolo4">
    <w:name w:val="heading 4"/>
    <w:basedOn w:val="Normale1"/>
    <w:next w:val="Normale1"/>
    <w:rsid w:val="004C1FA6"/>
    <w:pPr>
      <w:keepNext/>
      <w:keepLines/>
      <w:spacing w:before="240" w:after="40"/>
      <w:contextualSpacing/>
      <w:outlineLvl w:val="3"/>
    </w:pPr>
    <w:rPr>
      <w:b/>
      <w:sz w:val="24"/>
      <w:szCs w:val="24"/>
    </w:rPr>
  </w:style>
  <w:style w:type="paragraph" w:styleId="Titolo5">
    <w:name w:val="heading 5"/>
    <w:basedOn w:val="Normale1"/>
    <w:next w:val="Normale1"/>
    <w:rsid w:val="004C1FA6"/>
    <w:pPr>
      <w:keepNext/>
      <w:keepLines/>
      <w:spacing w:before="220" w:after="40"/>
      <w:contextualSpacing/>
      <w:outlineLvl w:val="4"/>
    </w:pPr>
    <w:rPr>
      <w:b/>
      <w:sz w:val="22"/>
      <w:szCs w:val="22"/>
    </w:rPr>
  </w:style>
  <w:style w:type="paragraph" w:styleId="Titolo6">
    <w:name w:val="heading 6"/>
    <w:basedOn w:val="Normale1"/>
    <w:next w:val="Normale1"/>
    <w:rsid w:val="004C1FA6"/>
    <w:pPr>
      <w:keepNext/>
      <w:keepLines/>
      <w:spacing w:before="200" w:after="40"/>
      <w:contextualSpacing/>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C1FA6"/>
  </w:style>
  <w:style w:type="table" w:customStyle="1" w:styleId="TableNormal">
    <w:name w:val="Table Normal"/>
    <w:rsid w:val="004C1FA6"/>
    <w:tblPr>
      <w:tblCellMar>
        <w:top w:w="0" w:type="dxa"/>
        <w:left w:w="0" w:type="dxa"/>
        <w:bottom w:w="0" w:type="dxa"/>
        <w:right w:w="0" w:type="dxa"/>
      </w:tblCellMar>
    </w:tblPr>
  </w:style>
  <w:style w:type="paragraph" w:styleId="Titolo">
    <w:name w:val="Title"/>
    <w:basedOn w:val="Normale1"/>
    <w:next w:val="Normale1"/>
    <w:rsid w:val="004C1FA6"/>
    <w:pPr>
      <w:keepNext/>
      <w:keepLines/>
      <w:spacing w:before="480" w:after="120"/>
      <w:contextualSpacing/>
    </w:pPr>
    <w:rPr>
      <w:b/>
      <w:sz w:val="72"/>
      <w:szCs w:val="72"/>
    </w:rPr>
  </w:style>
  <w:style w:type="paragraph" w:styleId="Sottotitolo">
    <w:name w:val="Subtitle"/>
    <w:basedOn w:val="Normale1"/>
    <w:next w:val="Normale1"/>
    <w:rsid w:val="004C1FA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C1FA6"/>
    <w:tblPr>
      <w:tblStyleRowBandSize w:val="1"/>
      <w:tblStyleColBandSize w:val="1"/>
      <w:tblCellMar>
        <w:top w:w="0" w:type="dxa"/>
        <w:left w:w="70" w:type="dxa"/>
        <w:bottom w:w="0" w:type="dxa"/>
        <w:right w:w="70" w:type="dxa"/>
      </w:tblCellMar>
    </w:tblPr>
  </w:style>
  <w:style w:type="table" w:customStyle="1" w:styleId="a0">
    <w:basedOn w:val="TableNormal"/>
    <w:rsid w:val="004C1FA6"/>
    <w:tblPr>
      <w:tblStyleRowBandSize w:val="1"/>
      <w:tblStyleColBandSize w:val="1"/>
      <w:tblCellMar>
        <w:top w:w="0" w:type="dxa"/>
        <w:left w:w="70" w:type="dxa"/>
        <w:bottom w:w="0" w:type="dxa"/>
        <w:right w:w="70" w:type="dxa"/>
      </w:tblCellMar>
    </w:tblPr>
  </w:style>
  <w:style w:type="table" w:customStyle="1" w:styleId="a1">
    <w:basedOn w:val="TableNormal"/>
    <w:rsid w:val="004C1FA6"/>
    <w:tblPr>
      <w:tblStyleRowBandSize w:val="1"/>
      <w:tblStyleColBandSize w:val="1"/>
      <w:tblCellMar>
        <w:top w:w="0" w:type="dxa"/>
        <w:left w:w="70" w:type="dxa"/>
        <w:bottom w:w="0" w:type="dxa"/>
        <w:right w:w="70" w:type="dxa"/>
      </w:tblCellMar>
    </w:tblPr>
  </w:style>
  <w:style w:type="table" w:customStyle="1" w:styleId="a2">
    <w:basedOn w:val="TableNormal"/>
    <w:rsid w:val="004C1FA6"/>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1161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6139"/>
    <w:rPr>
      <w:rFonts w:ascii="Tahoma" w:hAnsi="Tahoma" w:cs="Tahoma"/>
      <w:sz w:val="16"/>
      <w:szCs w:val="16"/>
    </w:rPr>
  </w:style>
  <w:style w:type="paragraph" w:styleId="Intestazione">
    <w:name w:val="header"/>
    <w:basedOn w:val="Normale"/>
    <w:link w:val="IntestazioneCarattere"/>
    <w:uiPriority w:val="99"/>
    <w:semiHidden/>
    <w:unhideWhenUsed/>
    <w:rsid w:val="0066760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67606"/>
  </w:style>
  <w:style w:type="paragraph" w:styleId="Pidipagina">
    <w:name w:val="footer"/>
    <w:basedOn w:val="Normale"/>
    <w:link w:val="PidipaginaCarattere"/>
    <w:uiPriority w:val="99"/>
    <w:semiHidden/>
    <w:unhideWhenUsed/>
    <w:rsid w:val="0066760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67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roma1.it/erasmus/tirocini" TargetMode="External"/><Relationship Id="rId13" Type="http://schemas.openxmlformats.org/officeDocument/2006/relationships/hyperlink" Target="http://151.100.101.75/candidatura/sendmail.aspx" TargetMode="External"/><Relationship Id="rId18" Type="http://schemas.openxmlformats.org/officeDocument/2006/relationships/hyperlink" Target="http://www.salute.gov.it/portale/temi/p2_6.jsp?lingua=italiano&amp;id=897&amp;area=Assistenza%20sanitaria&amp;menu=italian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51.100.101.75/candidatura/login.aspx" TargetMode="External"/><Relationship Id="rId17" Type="http://schemas.openxmlformats.org/officeDocument/2006/relationships/hyperlink" Target="http://www.uniroma1.it/ateneo/amministrazione/aree-e-uffici/direzione-risorse-umane-finanziarie-e-patrimoniali/area/polizze" TargetMode="External"/><Relationship Id="rId2" Type="http://schemas.openxmlformats.org/officeDocument/2006/relationships/numbering" Target="numbering.xml"/><Relationship Id="rId16" Type="http://schemas.openxmlformats.org/officeDocument/2006/relationships/hyperlink" Target="http://151.100.101.75/pp2013/login.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zi2.inps.it/servizi/Iseeriforma/home.asp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farmaciamedicina.uniroma1.it/notizie" TargetMode="External"/><Relationship Id="rId23" Type="http://schemas.openxmlformats.org/officeDocument/2006/relationships/theme" Target="theme/theme1.xml"/><Relationship Id="rId10" Type="http://schemas.openxmlformats.org/officeDocument/2006/relationships/hyperlink" Target="http://www.uniroma1.it/erasmus/studenti-students/erasmus-studenti-diversamente-abil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roma1.it/erasmus/studenti-students/contributi" TargetMode="External"/><Relationship Id="rId14" Type="http://schemas.openxmlformats.org/officeDocument/2006/relationships/hyperlink" Target="mailto:luciano.saso@uniroma1.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A3CA4-AC4B-4CBC-AE5F-25D4CA34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6128</Words>
  <Characters>34934</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40981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Amministratore_2</cp:lastModifiedBy>
  <cp:revision>29</cp:revision>
  <dcterms:created xsi:type="dcterms:W3CDTF">2017-01-30T12:07:00Z</dcterms:created>
  <dcterms:modified xsi:type="dcterms:W3CDTF">2017-02-02T13:48:00Z</dcterms:modified>
</cp:coreProperties>
</file>