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A1" w:rsidRDefault="004C21A1" w:rsidP="006C6E2F">
      <w:pPr>
        <w:pStyle w:val="Aaoeeu"/>
        <w:widowControl/>
        <w:rPr>
          <w:lang w:val="it-IT"/>
        </w:rPr>
      </w:pPr>
    </w:p>
    <w:p w:rsidR="004C21A1" w:rsidRDefault="004C21A1" w:rsidP="006C6E2F">
      <w:pPr>
        <w:pStyle w:val="Aaoeeu"/>
        <w:widowControl/>
        <w:rPr>
          <w:lang w:val="it-IT"/>
        </w:rPr>
      </w:pPr>
    </w:p>
    <w:p w:rsidR="004C21A1" w:rsidRDefault="004C21A1" w:rsidP="006C6E2F">
      <w:pPr>
        <w:pStyle w:val="Aaoeeu"/>
        <w:widowControl/>
        <w:rPr>
          <w:lang w:val="it-IT"/>
        </w:rPr>
      </w:pPr>
    </w:p>
    <w:p w:rsidR="004C21A1" w:rsidRPr="00150276" w:rsidRDefault="004C21A1" w:rsidP="006C6E2F">
      <w:pPr>
        <w:pStyle w:val="Aaoeeu"/>
        <w:widowControl/>
        <w:rPr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eeaoaeaa1"/>
              <w:widowControl/>
              <w:rPr>
                <w:smallCaps/>
                <w:spacing w:val="40"/>
                <w:lang w:val="it-IT"/>
              </w:rPr>
            </w:pPr>
            <w:r w:rsidRPr="00150276">
              <w:rPr>
                <w:smallCaps/>
                <w:spacing w:val="40"/>
                <w:lang w:val="it-IT"/>
              </w:rPr>
              <w:t>Formato europeo per il curriculum vitae</w:t>
            </w:r>
          </w:p>
          <w:p w:rsidR="006C6E2F" w:rsidRPr="00150276" w:rsidRDefault="006C6E2F" w:rsidP="006C6E2F">
            <w:pPr>
              <w:pStyle w:val="Aaoeeu"/>
              <w:rPr>
                <w:lang w:val="it-IT"/>
              </w:rPr>
            </w:pPr>
          </w:p>
          <w:p w:rsidR="006C6E2F" w:rsidRPr="00150276" w:rsidRDefault="00150276" w:rsidP="006C6E2F">
            <w:pPr>
              <w:pStyle w:val="Aaoeeu"/>
              <w:jc w:val="right"/>
              <w:rPr>
                <w:lang w:val="it-IT"/>
              </w:rPr>
            </w:pPr>
            <w:r w:rsidRPr="00150276">
              <w:rPr>
                <w:noProof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Pr="00150276" w:rsidRDefault="006C6E2F" w:rsidP="006C6E2F">
      <w:pPr>
        <w:pStyle w:val="Aaoeeu"/>
        <w:widowControl/>
        <w:rPr>
          <w:lang w:val="it-IT"/>
        </w:rPr>
      </w:pPr>
    </w:p>
    <w:p w:rsidR="006C6E2F" w:rsidRPr="00150276" w:rsidRDefault="006C6E2F" w:rsidP="006C6E2F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961890">
            <w:pPr>
              <w:pStyle w:val="Aeeaoaeaa1"/>
              <w:widowControl/>
              <w:jc w:val="left"/>
              <w:rPr>
                <w:smallCaps/>
                <w:lang w:val="it-IT"/>
              </w:rPr>
            </w:pPr>
            <w:r w:rsidRPr="00150276">
              <w:rPr>
                <w:smallCaps/>
                <w:lang w:val="it-IT"/>
              </w:rPr>
              <w:t>Informazioni personali</w:t>
            </w:r>
          </w:p>
        </w:tc>
      </w:tr>
    </w:tbl>
    <w:p w:rsidR="006C6E2F" w:rsidRPr="00150276" w:rsidRDefault="006C6E2F" w:rsidP="006C6E2F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150276" w:rsidTr="00C13F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150276">
              <w:rPr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FF1E75" w:rsidP="00FF1E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 w:rsidRPr="00150276">
              <w:rPr>
                <w:b/>
                <w:smallCaps/>
                <w:lang w:val="it-IT"/>
              </w:rPr>
              <w:t>Domenica Naike Cascini</w:t>
            </w:r>
          </w:p>
        </w:tc>
      </w:tr>
      <w:tr w:rsidR="006C6E2F" w:rsidRPr="00150276" w:rsidTr="00C13F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150276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FF1E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6C6E2F" w:rsidRPr="00150276" w:rsidTr="00C13F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150276">
              <w:rPr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6C6E2F" w:rsidRPr="00150276" w:rsidTr="00C13F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150276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150276">
              <w:rPr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6C6E2F" w:rsidRPr="00150276" w:rsidTr="00C13F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150276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  <w:tr w:rsidR="006C6E2F" w:rsidRPr="00150276" w:rsidTr="00C13F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150276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FF1E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6C6E2F" w:rsidRPr="00150276" w:rsidRDefault="006C6E2F" w:rsidP="006C6E2F">
      <w:pPr>
        <w:pStyle w:val="Aaoeeu"/>
        <w:widowControl/>
        <w:spacing w:before="20" w:after="20"/>
        <w:rPr>
          <w:lang w:val="it-IT"/>
        </w:rPr>
      </w:pPr>
    </w:p>
    <w:p w:rsidR="006C6E2F" w:rsidRPr="00150276" w:rsidRDefault="006C6E2F" w:rsidP="006C6E2F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</w:tblGrid>
      <w:tr w:rsidR="006C6E2F" w:rsidRPr="00150276" w:rsidTr="00961890">
        <w:trPr>
          <w:trHeight w:val="35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961890">
            <w:pPr>
              <w:pStyle w:val="Aeeaoaeaa1"/>
              <w:widowControl/>
              <w:rPr>
                <w:smallCaps/>
                <w:lang w:val="it-IT"/>
              </w:rPr>
            </w:pPr>
            <w:r w:rsidRPr="00150276">
              <w:rPr>
                <w:smallCaps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b/>
          <w:lang w:val="it-IT"/>
        </w:rPr>
      </w:pPr>
      <w:r w:rsidRPr="00150276">
        <w:rPr>
          <w:b/>
          <w:lang w:val="it-IT"/>
        </w:rPr>
        <w:tab/>
      </w:r>
    </w:p>
    <w:p w:rsidR="00003866" w:rsidRPr="00150276" w:rsidRDefault="00003866" w:rsidP="006C6E2F">
      <w:pPr>
        <w:pStyle w:val="Aaoeeu"/>
        <w:widowControl/>
        <w:jc w:val="both"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150276" w:rsidTr="002B10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866" w:rsidRDefault="00003866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>
              <w:rPr>
                <w:i w:val="0"/>
                <w:sz w:val="20"/>
                <w:u w:val="single"/>
                <w:lang w:val="it-IT"/>
              </w:rPr>
              <w:t>Dal 9 aprile al 28 maggio 2018</w:t>
            </w:r>
          </w:p>
          <w:p w:rsidR="00003866" w:rsidRDefault="00003866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913FAB" w:rsidRDefault="00913FAB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003866" w:rsidRDefault="00003866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>
              <w:rPr>
                <w:i w:val="0"/>
                <w:sz w:val="20"/>
                <w:u w:val="single"/>
                <w:lang w:val="it-IT"/>
              </w:rPr>
              <w:t xml:space="preserve">Dal 1 febbraio al 30 aprile 2018                 </w:t>
            </w:r>
          </w:p>
          <w:p w:rsidR="00003866" w:rsidRDefault="00003866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913FAB" w:rsidRDefault="00913FAB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913FAB" w:rsidRDefault="00913FAB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6C6E2F" w:rsidRPr="00961890" w:rsidRDefault="00556180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 w:rsidRPr="00961890">
              <w:rPr>
                <w:i w:val="0"/>
                <w:sz w:val="20"/>
                <w:u w:val="single"/>
                <w:lang w:val="it-IT"/>
              </w:rPr>
              <w:t>Da</w:t>
            </w:r>
            <w:r w:rsidR="002B10F5" w:rsidRPr="00961890">
              <w:rPr>
                <w:i w:val="0"/>
                <w:sz w:val="20"/>
                <w:u w:val="single"/>
                <w:lang w:val="it-IT"/>
              </w:rPr>
              <w:t xml:space="preserve">l 15 settembre 2017 ad </w:t>
            </w:r>
            <w:r w:rsidRPr="00961890">
              <w:rPr>
                <w:i w:val="0"/>
                <w:sz w:val="20"/>
                <w:u w:val="single"/>
                <w:lang w:val="it-IT"/>
              </w:rPr>
              <w:t>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3866" w:rsidRDefault="00003866" w:rsidP="00556180">
            <w:pPr>
              <w:pStyle w:val="OiaeaeiYiio2"/>
              <w:widowControl/>
              <w:spacing w:before="20" w:after="20"/>
              <w:jc w:val="left"/>
              <w:rPr>
                <w:sz w:val="20"/>
                <w:u w:val="single"/>
                <w:lang w:val="it-IT"/>
              </w:rPr>
            </w:pPr>
            <w:r>
              <w:rPr>
                <w:sz w:val="20"/>
                <w:u w:val="single"/>
                <w:lang w:val="it-IT"/>
              </w:rPr>
              <w:t>T</w:t>
            </w:r>
            <w:r w:rsidR="00873825">
              <w:rPr>
                <w:sz w:val="20"/>
                <w:u w:val="single"/>
                <w:lang w:val="it-IT"/>
              </w:rPr>
              <w:t xml:space="preserve">itolare </w:t>
            </w:r>
            <w:r w:rsidRPr="00003866">
              <w:rPr>
                <w:sz w:val="20"/>
                <w:u w:val="single"/>
                <w:lang w:val="it-IT"/>
              </w:rPr>
              <w:t>di docenza per il Corso di Procedura Penale (laurea tutoring) per studenti fuori corso, presso l’Università degli Studi di Roma La Sapienz</w:t>
            </w:r>
          </w:p>
          <w:p w:rsidR="00003866" w:rsidRDefault="00003866" w:rsidP="00556180">
            <w:pPr>
              <w:pStyle w:val="OiaeaeiYiio2"/>
              <w:widowControl/>
              <w:spacing w:before="20" w:after="20"/>
              <w:jc w:val="left"/>
              <w:rPr>
                <w:sz w:val="20"/>
                <w:u w:val="single"/>
                <w:lang w:val="it-IT"/>
              </w:rPr>
            </w:pPr>
          </w:p>
          <w:p w:rsidR="00003866" w:rsidRDefault="00003866" w:rsidP="00556180">
            <w:pPr>
              <w:pStyle w:val="OiaeaeiYiio2"/>
              <w:widowControl/>
              <w:spacing w:before="20" w:after="20"/>
              <w:jc w:val="left"/>
              <w:rPr>
                <w:sz w:val="20"/>
                <w:u w:val="single"/>
                <w:lang w:val="it-IT"/>
              </w:rPr>
            </w:pPr>
            <w:r>
              <w:rPr>
                <w:sz w:val="20"/>
                <w:u w:val="single"/>
                <w:lang w:val="it-IT"/>
              </w:rPr>
              <w:t>T</w:t>
            </w:r>
            <w:r w:rsidRPr="00003866">
              <w:rPr>
                <w:sz w:val="20"/>
                <w:u w:val="single"/>
                <w:lang w:val="it-IT"/>
              </w:rPr>
              <w:t>utor presso la Scuola di Specializzazione in Professioni Legali della Facoltà di Giurisprudenza dell’Università di Roma La Sapienza (Diritto Processuale Penale</w:t>
            </w:r>
            <w:r>
              <w:rPr>
                <w:sz w:val="20"/>
                <w:u w:val="single"/>
                <w:lang w:val="it-IT"/>
              </w:rPr>
              <w:t>)</w:t>
            </w:r>
          </w:p>
          <w:p w:rsidR="00003866" w:rsidRDefault="00003866" w:rsidP="00556180">
            <w:pPr>
              <w:pStyle w:val="OiaeaeiYiio2"/>
              <w:widowControl/>
              <w:spacing w:before="20" w:after="20"/>
              <w:jc w:val="left"/>
              <w:rPr>
                <w:sz w:val="20"/>
                <w:u w:val="single"/>
                <w:lang w:val="it-IT"/>
              </w:rPr>
            </w:pPr>
          </w:p>
          <w:p w:rsidR="00913FAB" w:rsidRDefault="00913FAB" w:rsidP="00556180">
            <w:pPr>
              <w:pStyle w:val="OiaeaeiYiio2"/>
              <w:widowControl/>
              <w:spacing w:before="20" w:after="20"/>
              <w:jc w:val="left"/>
              <w:rPr>
                <w:sz w:val="20"/>
                <w:u w:val="single"/>
                <w:lang w:val="it-IT"/>
              </w:rPr>
            </w:pPr>
          </w:p>
          <w:p w:rsidR="00873825" w:rsidRDefault="00556180" w:rsidP="00556180">
            <w:pPr>
              <w:pStyle w:val="OiaeaeiYiio2"/>
              <w:widowControl/>
              <w:spacing w:before="20" w:after="20"/>
              <w:jc w:val="left"/>
              <w:rPr>
                <w:sz w:val="20"/>
                <w:u w:val="single"/>
                <w:lang w:val="it-IT"/>
              </w:rPr>
            </w:pPr>
            <w:r w:rsidRPr="00150276">
              <w:rPr>
                <w:sz w:val="20"/>
                <w:u w:val="single"/>
                <w:lang w:val="it-IT"/>
              </w:rPr>
              <w:t>Dottore di Ric</w:t>
            </w:r>
            <w:r w:rsidR="00873825">
              <w:rPr>
                <w:sz w:val="20"/>
                <w:u w:val="single"/>
                <w:lang w:val="it-IT"/>
              </w:rPr>
              <w:t>erca in Diritto Pubblico - Curriculum diritto e procedura penale</w:t>
            </w:r>
          </w:p>
          <w:p w:rsidR="006C6E2F" w:rsidRPr="00150276" w:rsidRDefault="00556180" w:rsidP="0055618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i w:val="0"/>
                <w:sz w:val="20"/>
                <w:lang w:val="it-IT"/>
              </w:rPr>
              <w:t>La Sapienza Roma – Piazzale Aldo Moro, Roma</w:t>
            </w:r>
          </w:p>
        </w:tc>
      </w:tr>
      <w:tr w:rsidR="006C6E2F" w:rsidRPr="00150276" w:rsidTr="002B10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FFB" w:rsidRPr="00150276" w:rsidRDefault="00363FFB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6C6E2F" w:rsidRPr="00150276" w:rsidRDefault="00363FFB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i w:val="0"/>
                <w:sz w:val="20"/>
                <w:lang w:val="it-IT"/>
              </w:rPr>
              <w:t xml:space="preserve">Principali attività svolte: Tutor studenti della cattedra di procedura penale, assistenza lezioni, assistenza redazione tesi di laurea. </w:t>
            </w:r>
          </w:p>
          <w:p w:rsidR="00363FFB" w:rsidRPr="00150276" w:rsidRDefault="00363FFB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6C6E2F" w:rsidRPr="00150276" w:rsidTr="002B10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961890" w:rsidRDefault="00556180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 w:rsidRPr="00961890">
              <w:rPr>
                <w:i w:val="0"/>
                <w:sz w:val="20"/>
                <w:u w:val="single"/>
                <w:lang w:val="it-IT"/>
              </w:rPr>
              <w:t>Dal gennaio 2012 ad 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51E4" w:rsidRPr="00150276" w:rsidRDefault="00556180" w:rsidP="006C6E2F">
            <w:pPr>
              <w:pStyle w:val="OiaeaeiYiio2"/>
              <w:widowControl/>
              <w:spacing w:before="20" w:after="20"/>
              <w:jc w:val="left"/>
              <w:rPr>
                <w:sz w:val="20"/>
                <w:u w:val="single"/>
                <w:lang w:val="it-IT"/>
              </w:rPr>
            </w:pPr>
            <w:r w:rsidRPr="00150276">
              <w:rPr>
                <w:sz w:val="20"/>
                <w:u w:val="single"/>
                <w:lang w:val="it-IT"/>
              </w:rPr>
              <w:t>Responsabile di Redazione Rivista Archivio Penale</w:t>
            </w:r>
          </w:p>
          <w:p w:rsidR="00363FFB" w:rsidRPr="00150276" w:rsidRDefault="00363FFB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9D51E4" w:rsidRPr="00150276" w:rsidRDefault="009D51E4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i w:val="0"/>
                <w:sz w:val="20"/>
                <w:lang w:val="it-IT"/>
              </w:rPr>
              <w:t xml:space="preserve">Principali attività svolte: </w:t>
            </w:r>
            <w:r w:rsidR="00363FFB" w:rsidRPr="00150276">
              <w:rPr>
                <w:i w:val="0"/>
                <w:sz w:val="20"/>
                <w:lang w:val="it-IT"/>
              </w:rPr>
              <w:t xml:space="preserve">Redazione massime sentenze Magistrature Superiori, revisione formale e sostanziale contributi, saggi, articoli, note a sentenza, gestione interna del sito </w:t>
            </w:r>
            <w:hyperlink r:id="rId7" w:history="1">
              <w:r w:rsidR="00363FFB" w:rsidRPr="00150276">
                <w:rPr>
                  <w:rStyle w:val="Collegamentoipertestuale"/>
                  <w:i w:val="0"/>
                  <w:sz w:val="20"/>
                  <w:lang w:val="it-IT"/>
                </w:rPr>
                <w:t>www.archiviopenale.it</w:t>
              </w:r>
            </w:hyperlink>
            <w:r w:rsidR="00363FFB" w:rsidRPr="00150276">
              <w:rPr>
                <w:i w:val="0"/>
                <w:sz w:val="20"/>
                <w:lang w:val="it-IT"/>
              </w:rPr>
              <w:t>; rapporti con Autori italiani e stranieri, editing e abstract di tutti i contributi inviati alla Rivista.</w:t>
            </w:r>
          </w:p>
          <w:p w:rsidR="00556180" w:rsidRPr="00150276" w:rsidRDefault="00556180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6C6E2F" w:rsidRPr="00150276" w:rsidTr="002B10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0276" w:rsidRDefault="00150276" w:rsidP="00960030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it-IT"/>
              </w:rPr>
            </w:pPr>
          </w:p>
          <w:p w:rsidR="00960030" w:rsidRPr="00150276" w:rsidRDefault="00960030" w:rsidP="00960030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6C6E2F" w:rsidRPr="00150276" w:rsidTr="002B10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961890" w:rsidRDefault="00150276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 w:rsidRPr="00961890">
              <w:rPr>
                <w:i w:val="0"/>
                <w:sz w:val="20"/>
                <w:u w:val="single"/>
                <w:lang w:val="it-IT"/>
              </w:rPr>
              <w:t>Dal gennaio 2012 ad oggi</w:t>
            </w:r>
          </w:p>
          <w:p w:rsidR="00960030" w:rsidRPr="00150276" w:rsidRDefault="00960030" w:rsidP="00960030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</w:p>
          <w:p w:rsidR="00960030" w:rsidRPr="00150276" w:rsidRDefault="00960030" w:rsidP="00960030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</w:p>
          <w:p w:rsidR="00960030" w:rsidRPr="00150276" w:rsidRDefault="00960030" w:rsidP="00960030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</w:p>
          <w:p w:rsidR="00960030" w:rsidRPr="00150276" w:rsidRDefault="00960030" w:rsidP="00960030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</w:p>
          <w:p w:rsidR="00960030" w:rsidRPr="00150276" w:rsidRDefault="00960030" w:rsidP="00960030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</w:p>
          <w:p w:rsidR="00960030" w:rsidRPr="00150276" w:rsidRDefault="00960030" w:rsidP="00960030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it-IT"/>
              </w:rPr>
            </w:pPr>
          </w:p>
          <w:p w:rsidR="00150276" w:rsidRDefault="00150276" w:rsidP="00960030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it-IT"/>
              </w:rPr>
            </w:pPr>
          </w:p>
          <w:p w:rsidR="00150276" w:rsidRDefault="00150276" w:rsidP="00960030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it-IT"/>
              </w:rPr>
            </w:pPr>
          </w:p>
          <w:p w:rsidR="00873825" w:rsidRDefault="00873825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150276" w:rsidRPr="00961890" w:rsidRDefault="00150276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 w:rsidRPr="00961890">
              <w:rPr>
                <w:i w:val="0"/>
                <w:sz w:val="20"/>
                <w:u w:val="single"/>
                <w:lang w:val="it-IT"/>
              </w:rPr>
              <w:t>Dal Febbraio 2012 ad oggi</w:t>
            </w:r>
          </w:p>
          <w:p w:rsidR="00150276" w:rsidRPr="00150276" w:rsidRDefault="00150276" w:rsidP="00960030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  <w:p w:rsidR="00960030" w:rsidRPr="00150276" w:rsidRDefault="00960030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  <w:p w:rsidR="00960030" w:rsidRPr="00150276" w:rsidRDefault="00960030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  <w:p w:rsidR="00960030" w:rsidRPr="00150276" w:rsidRDefault="00960030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  <w:p w:rsidR="00960030" w:rsidRPr="00150276" w:rsidRDefault="00960030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  <w:p w:rsidR="00960030" w:rsidRPr="00150276" w:rsidRDefault="00960030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  <w:p w:rsidR="00960030" w:rsidRPr="00150276" w:rsidRDefault="00960030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  <w:p w:rsidR="00960030" w:rsidRPr="00150276" w:rsidRDefault="00960030" w:rsidP="00960030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  <w:r w:rsidRPr="00150276">
              <w:rPr>
                <w:lang w:val="it-IT"/>
              </w:rPr>
              <w:t xml:space="preserve"> </w:t>
            </w:r>
          </w:p>
          <w:p w:rsidR="00960030" w:rsidRPr="00150276" w:rsidRDefault="00960030" w:rsidP="00960030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556180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sz w:val="20"/>
                <w:u w:val="single"/>
                <w:lang w:val="it-IT"/>
              </w:rPr>
              <w:t>Assistente di cattedra presso la facoltà di Giurisprudenza, di diritto processuale penale</w:t>
            </w:r>
            <w:r w:rsidR="002B10F5" w:rsidRPr="00150276">
              <w:rPr>
                <w:i w:val="0"/>
                <w:sz w:val="20"/>
                <w:lang w:val="it-IT"/>
              </w:rPr>
              <w:t xml:space="preserve"> (Prof. Alfredo Gaito)</w:t>
            </w:r>
            <w:r w:rsidRPr="00150276">
              <w:rPr>
                <w:i w:val="0"/>
                <w:sz w:val="20"/>
                <w:lang w:val="it-IT"/>
              </w:rPr>
              <w:t xml:space="preserve"> – La Sapienza Roma</w:t>
            </w:r>
          </w:p>
          <w:p w:rsidR="002B10F5" w:rsidRPr="00150276" w:rsidRDefault="002B10F5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2B10F5" w:rsidRPr="00150276" w:rsidRDefault="00363FFB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i w:val="0"/>
                <w:sz w:val="20"/>
                <w:lang w:val="it-IT"/>
              </w:rPr>
              <w:t>Principali attività svolte: Assistenza e partecipazione alle lezioni, assistenza e partecipazione ai seminari di approfondimento</w:t>
            </w:r>
            <w:r w:rsidR="00AB6BCD" w:rsidRPr="00150276">
              <w:rPr>
                <w:i w:val="0"/>
                <w:sz w:val="20"/>
                <w:lang w:val="it-IT"/>
              </w:rPr>
              <w:t xml:space="preserve"> relativi</w:t>
            </w:r>
            <w:r w:rsidRPr="00150276">
              <w:rPr>
                <w:i w:val="0"/>
                <w:sz w:val="20"/>
                <w:lang w:val="it-IT"/>
              </w:rPr>
              <w:t xml:space="preserve"> a processi realmente svolti, coordinamento seminari pomeridiani </w:t>
            </w:r>
            <w:r w:rsidR="00AB6BCD" w:rsidRPr="00150276">
              <w:rPr>
                <w:i w:val="0"/>
                <w:sz w:val="20"/>
                <w:lang w:val="it-IT"/>
              </w:rPr>
              <w:t>con Professori delle diverse facoltà Italiane di giurisprudenza; assistenza e coordinamento simulazioni proces</w:t>
            </w:r>
            <w:r w:rsidR="009C2316" w:rsidRPr="00150276">
              <w:rPr>
                <w:i w:val="0"/>
                <w:sz w:val="20"/>
                <w:lang w:val="it-IT"/>
              </w:rPr>
              <w:t>suali realizzate dagli studenti; organizzazione convegni.</w:t>
            </w:r>
          </w:p>
          <w:p w:rsidR="002B10F5" w:rsidRPr="00150276" w:rsidRDefault="002B10F5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960030" w:rsidRPr="00150276" w:rsidRDefault="00960030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2B10F5" w:rsidRPr="00150276" w:rsidRDefault="00873825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>
              <w:rPr>
                <w:sz w:val="20"/>
                <w:u w:val="single"/>
                <w:lang w:val="it-IT"/>
              </w:rPr>
              <w:t>C</w:t>
            </w:r>
            <w:r w:rsidR="002B10F5" w:rsidRPr="00150276">
              <w:rPr>
                <w:sz w:val="20"/>
                <w:u w:val="single"/>
                <w:lang w:val="it-IT"/>
              </w:rPr>
              <w:t>ollaboratore</w:t>
            </w:r>
            <w:r w:rsidR="00CB1482">
              <w:rPr>
                <w:sz w:val="20"/>
                <w:u w:val="single"/>
                <w:lang w:val="it-IT"/>
              </w:rPr>
              <w:t xml:space="preserve"> e consulente esterno</w:t>
            </w:r>
            <w:r w:rsidR="002B10F5" w:rsidRPr="00150276">
              <w:rPr>
                <w:sz w:val="20"/>
                <w:u w:val="single"/>
                <w:lang w:val="it-IT"/>
              </w:rPr>
              <w:t xml:space="preserve"> presso Studio Legale</w:t>
            </w:r>
            <w:r w:rsidR="00CB1482">
              <w:rPr>
                <w:sz w:val="20"/>
                <w:u w:val="single"/>
                <w:lang w:val="it-IT"/>
              </w:rPr>
              <w:t xml:space="preserve"> </w:t>
            </w:r>
            <w:r w:rsidR="002B10F5" w:rsidRPr="00150276">
              <w:rPr>
                <w:sz w:val="20"/>
                <w:u w:val="single"/>
                <w:lang w:val="it-IT"/>
              </w:rPr>
              <w:t xml:space="preserve"> </w:t>
            </w:r>
          </w:p>
          <w:p w:rsidR="00960030" w:rsidRPr="00150276" w:rsidRDefault="00960030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2B10F5" w:rsidRPr="00150276" w:rsidRDefault="002B10F5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i w:val="0"/>
                <w:sz w:val="20"/>
                <w:lang w:val="it-IT"/>
              </w:rPr>
              <w:lastRenderedPageBreak/>
              <w:t xml:space="preserve">Principali attività svolte: analisi delle problematiche giuridiche di maggiore interesse, </w:t>
            </w:r>
            <w:r w:rsidR="00960030" w:rsidRPr="00150276">
              <w:rPr>
                <w:i w:val="0"/>
                <w:sz w:val="20"/>
                <w:lang w:val="it-IT"/>
              </w:rPr>
              <w:t xml:space="preserve">ricerche giurisprudenziali, </w:t>
            </w:r>
            <w:r w:rsidRPr="00150276">
              <w:rPr>
                <w:i w:val="0"/>
                <w:sz w:val="20"/>
                <w:lang w:val="it-IT"/>
              </w:rPr>
              <w:t>redazione di atti e pareri in materia di diritto penale e processuale penale, sostituzione udienze, assistenza e partecipazione alle indagini difensive</w:t>
            </w:r>
            <w:r w:rsidR="00960030" w:rsidRPr="00150276">
              <w:rPr>
                <w:i w:val="0"/>
                <w:sz w:val="20"/>
                <w:lang w:val="it-IT"/>
              </w:rPr>
              <w:t xml:space="preserve"> condotte dallo</w:t>
            </w:r>
            <w:r w:rsidRPr="00150276">
              <w:rPr>
                <w:i w:val="0"/>
                <w:sz w:val="20"/>
                <w:lang w:val="it-IT"/>
              </w:rPr>
              <w:t xml:space="preserve"> </w:t>
            </w:r>
            <w:r w:rsidR="00960030" w:rsidRPr="00150276">
              <w:rPr>
                <w:i w:val="0"/>
                <w:sz w:val="20"/>
                <w:lang w:val="it-IT"/>
              </w:rPr>
              <w:t>Studio.</w:t>
            </w:r>
          </w:p>
          <w:p w:rsidR="002B10F5" w:rsidRPr="00150276" w:rsidRDefault="002B10F5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6C6E2F" w:rsidRPr="00150276" w:rsidTr="002B10F5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10F5" w:rsidRPr="00150276" w:rsidRDefault="002B10F5" w:rsidP="00960030">
            <w:pPr>
              <w:pStyle w:val="Aeeaoaeaa1"/>
              <w:widowControl/>
              <w:jc w:val="center"/>
              <w:rPr>
                <w:lang w:val="it-IT"/>
              </w:rPr>
            </w:pPr>
          </w:p>
          <w:p w:rsidR="002B10F5" w:rsidRPr="00150276" w:rsidRDefault="002B10F5" w:rsidP="002B10F5">
            <w:pPr>
              <w:pStyle w:val="Aaoeeu"/>
              <w:rPr>
                <w:lang w:val="it-IT"/>
              </w:rPr>
            </w:pPr>
          </w:p>
          <w:p w:rsidR="002B10F5" w:rsidRPr="00150276" w:rsidRDefault="002B10F5" w:rsidP="002B10F5">
            <w:pPr>
              <w:pStyle w:val="Aaoeeu"/>
              <w:rPr>
                <w:lang w:val="it-IT"/>
              </w:rPr>
            </w:pPr>
          </w:p>
          <w:p w:rsidR="002B10F5" w:rsidRPr="00150276" w:rsidRDefault="002B10F5" w:rsidP="002B10F5">
            <w:pPr>
              <w:pStyle w:val="Aaoeeu"/>
              <w:rPr>
                <w:lang w:val="it-IT"/>
              </w:rPr>
            </w:pPr>
          </w:p>
          <w:p w:rsidR="002B10F5" w:rsidRPr="00150276" w:rsidRDefault="002B10F5" w:rsidP="002B10F5">
            <w:pPr>
              <w:pStyle w:val="Aaoeeu"/>
              <w:rPr>
                <w:lang w:val="it-IT"/>
              </w:rPr>
            </w:pPr>
          </w:p>
          <w:p w:rsidR="006C6E2F" w:rsidRPr="00150276" w:rsidRDefault="006C6E2F" w:rsidP="00961890">
            <w:pPr>
              <w:pStyle w:val="Aeeaoaeaa1"/>
              <w:widowControl/>
              <w:jc w:val="left"/>
              <w:rPr>
                <w:smallCaps/>
                <w:lang w:val="it-IT"/>
              </w:rPr>
            </w:pPr>
            <w:r w:rsidRPr="00150276">
              <w:rPr>
                <w:smallCaps/>
                <w:lang w:val="it-IT"/>
              </w:rPr>
              <w:t>Istruzione e formazione</w:t>
            </w:r>
          </w:p>
        </w:tc>
      </w:tr>
    </w:tbl>
    <w:p w:rsidR="006C6E2F" w:rsidRPr="00150276" w:rsidRDefault="006C6E2F" w:rsidP="006C6E2F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59"/>
        <w:gridCol w:w="284"/>
        <w:gridCol w:w="4286"/>
        <w:gridCol w:w="2943"/>
      </w:tblGrid>
      <w:tr w:rsidR="006C6E2F" w:rsidRPr="00150276" w:rsidTr="00C13FB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2F" w:rsidRPr="00961890" w:rsidRDefault="009C2316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 w:rsidRPr="00961890">
              <w:rPr>
                <w:i w:val="0"/>
                <w:sz w:val="20"/>
                <w:u w:val="single"/>
                <w:lang w:val="it-IT"/>
              </w:rPr>
              <w:t>Settembre 2017</w:t>
            </w:r>
          </w:p>
          <w:p w:rsidR="00BB7E39" w:rsidRPr="00150276" w:rsidRDefault="00BB7E39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  <w:p w:rsidR="00BB7E39" w:rsidRPr="00150276" w:rsidRDefault="00BB7E39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  <w:p w:rsidR="00BB7E39" w:rsidRPr="00961890" w:rsidRDefault="00BB7E39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 w:rsidRPr="00961890">
              <w:rPr>
                <w:i w:val="0"/>
                <w:sz w:val="20"/>
                <w:u w:val="single"/>
                <w:lang w:val="it-IT"/>
              </w:rPr>
              <w:t>Maggio 2017</w:t>
            </w:r>
          </w:p>
          <w:p w:rsidR="00BB7E39" w:rsidRPr="00150276" w:rsidRDefault="00BB7E39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  <w:p w:rsidR="00BB7E39" w:rsidRDefault="00BB7E39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  <w:p w:rsidR="00AF7994" w:rsidRPr="00AF7994" w:rsidRDefault="00AF7994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 w:rsidRPr="00AF7994">
              <w:rPr>
                <w:i w:val="0"/>
                <w:sz w:val="20"/>
                <w:u w:val="single"/>
                <w:lang w:val="it-IT"/>
              </w:rPr>
              <w:t>Novembre 2017</w:t>
            </w:r>
          </w:p>
          <w:p w:rsidR="00AF7994" w:rsidRPr="00150276" w:rsidRDefault="00AF7994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  <w:p w:rsidR="00221E68" w:rsidRDefault="00221E68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873825" w:rsidRDefault="00873825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221E68" w:rsidRDefault="00221E68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>
              <w:rPr>
                <w:i w:val="0"/>
                <w:sz w:val="20"/>
                <w:u w:val="single"/>
                <w:lang w:val="it-IT"/>
              </w:rPr>
              <w:t>Aprile 2016</w:t>
            </w:r>
          </w:p>
          <w:p w:rsidR="00221E68" w:rsidRDefault="00221E68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221E68" w:rsidRDefault="00221E68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221E68" w:rsidRDefault="00221E68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</w:p>
          <w:p w:rsidR="00991ECC" w:rsidRPr="00961890" w:rsidRDefault="00991ECC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 w:rsidRPr="00961890">
              <w:rPr>
                <w:i w:val="0"/>
                <w:sz w:val="20"/>
                <w:u w:val="single"/>
                <w:lang w:val="it-IT"/>
              </w:rPr>
              <w:t>Dicembre 2016</w:t>
            </w:r>
          </w:p>
          <w:p w:rsidR="009C2316" w:rsidRPr="00150276" w:rsidRDefault="009C2316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  <w:p w:rsidR="00BB7E39" w:rsidRPr="00150276" w:rsidRDefault="00BB7E39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  <w:p w:rsidR="009C2316" w:rsidRPr="00150276" w:rsidRDefault="009C2316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24" w:rsidRPr="00961890" w:rsidRDefault="00AB6BCD" w:rsidP="006C6E2F">
            <w:pPr>
              <w:pStyle w:val="OiaeaeiYiio2"/>
              <w:widowControl/>
              <w:spacing w:before="20" w:after="20"/>
              <w:jc w:val="left"/>
              <w:rPr>
                <w:sz w:val="20"/>
                <w:u w:val="single"/>
                <w:lang w:val="it-IT"/>
              </w:rPr>
            </w:pPr>
            <w:r w:rsidRPr="00961890">
              <w:rPr>
                <w:b/>
                <w:sz w:val="20"/>
                <w:u w:val="single"/>
                <w:lang w:val="it-IT"/>
              </w:rPr>
              <w:t>Dottore di Ricerca</w:t>
            </w:r>
            <w:r w:rsidRPr="00961890">
              <w:rPr>
                <w:sz w:val="20"/>
                <w:u w:val="single"/>
                <w:lang w:val="it-IT"/>
              </w:rPr>
              <w:t xml:space="preserve"> in diritto e procedura penale – La Sapienza Roma</w:t>
            </w:r>
          </w:p>
          <w:p w:rsidR="00BB7E39" w:rsidRPr="00150276" w:rsidRDefault="00BB7E39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9C2316" w:rsidRPr="00150276" w:rsidRDefault="009C2316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BB7E39" w:rsidRPr="00150276" w:rsidRDefault="00BB7E39" w:rsidP="00991E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i w:val="0"/>
                <w:sz w:val="20"/>
                <w:lang w:val="it-IT"/>
              </w:rPr>
              <w:t>Partecipazione a convegno “</w:t>
            </w:r>
            <w:r w:rsidR="00635D0E" w:rsidRPr="00961890">
              <w:rPr>
                <w:sz w:val="20"/>
                <w:u w:val="single"/>
                <w:lang w:val="it-IT"/>
              </w:rPr>
              <w:t>Legalità penale e l</w:t>
            </w:r>
            <w:r w:rsidRPr="00961890">
              <w:rPr>
                <w:sz w:val="20"/>
                <w:u w:val="single"/>
                <w:lang w:val="it-IT"/>
              </w:rPr>
              <w:t>egalità processuale</w:t>
            </w:r>
            <w:r w:rsidRPr="00150276">
              <w:rPr>
                <w:sz w:val="20"/>
                <w:lang w:val="it-IT"/>
              </w:rPr>
              <w:t>”</w:t>
            </w:r>
            <w:r w:rsidRPr="00150276">
              <w:rPr>
                <w:i w:val="0"/>
                <w:sz w:val="20"/>
                <w:lang w:val="it-IT"/>
              </w:rPr>
              <w:t xml:space="preserve"> – La Sapienza Roma</w:t>
            </w:r>
          </w:p>
          <w:p w:rsidR="00AF7994" w:rsidRPr="00150276" w:rsidRDefault="00AF7994" w:rsidP="00991E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BB7E39" w:rsidRPr="00AF7994" w:rsidRDefault="00221E68" w:rsidP="00991E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P</w:t>
            </w:r>
            <w:r w:rsidR="00873825">
              <w:rPr>
                <w:i w:val="0"/>
                <w:sz w:val="20"/>
                <w:lang w:val="it-IT"/>
              </w:rPr>
              <w:t>artecipazione al</w:t>
            </w:r>
            <w:r w:rsidR="00AF7994">
              <w:rPr>
                <w:i w:val="0"/>
                <w:sz w:val="20"/>
                <w:lang w:val="it-IT"/>
              </w:rPr>
              <w:t xml:space="preserve"> </w:t>
            </w:r>
            <w:r w:rsidR="00AF7994" w:rsidRPr="00873825">
              <w:rPr>
                <w:sz w:val="20"/>
                <w:u w:val="single"/>
                <w:lang w:val="it-IT"/>
              </w:rPr>
              <w:t>IV Processulus</w:t>
            </w:r>
            <w:r w:rsidR="00873825" w:rsidRPr="00873825">
              <w:rPr>
                <w:sz w:val="20"/>
                <w:u w:val="single"/>
                <w:lang w:val="it-IT"/>
              </w:rPr>
              <w:t>, convegno di giovani processualisti</w:t>
            </w:r>
            <w:r w:rsidR="00873825">
              <w:rPr>
                <w:sz w:val="20"/>
                <w:lang w:val="it-IT"/>
              </w:rPr>
              <w:t xml:space="preserve">, </w:t>
            </w:r>
            <w:r w:rsidR="00873825">
              <w:rPr>
                <w:i w:val="0"/>
                <w:sz w:val="20"/>
                <w:lang w:val="it-IT"/>
              </w:rPr>
              <w:t xml:space="preserve">con la relazione </w:t>
            </w:r>
            <w:r w:rsidR="00873825">
              <w:rPr>
                <w:sz w:val="20"/>
                <w:lang w:val="it-IT"/>
              </w:rPr>
              <w:t>L’effettiva partecipazione dell’imputato al processo. Profili comparatistici Spagna Italia</w:t>
            </w:r>
            <w:r w:rsidR="00AF7994">
              <w:rPr>
                <w:sz w:val="20"/>
                <w:lang w:val="it-IT"/>
              </w:rPr>
              <w:t xml:space="preserve"> – </w:t>
            </w:r>
            <w:r w:rsidR="00AF7994">
              <w:rPr>
                <w:i w:val="0"/>
                <w:sz w:val="20"/>
                <w:lang w:val="it-IT"/>
              </w:rPr>
              <w:t>Università di Cadice</w:t>
            </w:r>
          </w:p>
          <w:p w:rsidR="00221E68" w:rsidRDefault="00221E68" w:rsidP="00991E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221E68" w:rsidRDefault="00221E68" w:rsidP="00991E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i w:val="0"/>
                <w:sz w:val="20"/>
                <w:lang w:val="it-IT"/>
              </w:rPr>
              <w:t>Membro del progetto di ricerca su “</w:t>
            </w:r>
            <w:r w:rsidRPr="00961890">
              <w:rPr>
                <w:sz w:val="20"/>
                <w:u w:val="single"/>
                <w:lang w:val="it-IT"/>
              </w:rPr>
              <w:t>Responsabilità penale degli enti</w:t>
            </w:r>
            <w:r w:rsidRPr="00150276">
              <w:rPr>
                <w:sz w:val="20"/>
                <w:lang w:val="it-IT"/>
              </w:rPr>
              <w:t xml:space="preserve">” </w:t>
            </w:r>
            <w:r w:rsidRPr="00150276">
              <w:rPr>
                <w:i w:val="0"/>
                <w:sz w:val="20"/>
                <w:lang w:val="it-IT"/>
              </w:rPr>
              <w:t>– La Sapienza di Roma</w:t>
            </w:r>
          </w:p>
          <w:p w:rsidR="00221E68" w:rsidRDefault="00221E68" w:rsidP="00991E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221E68" w:rsidRDefault="00221E68" w:rsidP="00991E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991ECC" w:rsidRPr="00150276" w:rsidRDefault="00991ECC" w:rsidP="00991E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i w:val="0"/>
                <w:sz w:val="20"/>
                <w:lang w:val="it-IT"/>
              </w:rPr>
              <w:t xml:space="preserve">Partecipazione al </w:t>
            </w:r>
            <w:r w:rsidRPr="00961890">
              <w:rPr>
                <w:i w:val="0"/>
                <w:sz w:val="20"/>
                <w:u w:val="single"/>
                <w:lang w:val="it-IT"/>
              </w:rPr>
              <w:t>Corso di perfezionamento per l’avvocato penalista</w:t>
            </w:r>
            <w:r w:rsidRPr="00150276">
              <w:rPr>
                <w:i w:val="0"/>
                <w:sz w:val="20"/>
                <w:lang w:val="it-IT"/>
              </w:rPr>
              <w:t xml:space="preserve"> – Diretto dal Prof. Giorgio Spangher ed organizzato insieme all’Associazione Azione Legale</w:t>
            </w:r>
          </w:p>
        </w:tc>
      </w:tr>
      <w:tr w:rsidR="006C6E2F" w:rsidRPr="00150276" w:rsidTr="00C13FB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9C2316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150276">
              <w:rPr>
                <w:i w:val="0"/>
                <w:sz w:val="20"/>
                <w:lang w:val="it-IT"/>
              </w:rPr>
              <w:t xml:space="preserve"> </w:t>
            </w:r>
          </w:p>
          <w:p w:rsidR="009C2316" w:rsidRPr="00961890" w:rsidRDefault="00E24D25" w:rsidP="0096189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>
              <w:rPr>
                <w:i w:val="0"/>
                <w:sz w:val="20"/>
                <w:u w:val="single"/>
                <w:lang w:val="it-IT"/>
              </w:rPr>
              <w:t>Gennaio 2013</w:t>
            </w:r>
          </w:p>
          <w:p w:rsidR="00BA3AFF" w:rsidRPr="00150276" w:rsidRDefault="00BA3AFF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  <w:p w:rsidR="00B47103" w:rsidRPr="00150276" w:rsidRDefault="00B47103" w:rsidP="0096189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</w:p>
          <w:p w:rsidR="00E52024" w:rsidRPr="00150276" w:rsidRDefault="00944CA7" w:rsidP="00B33619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it-IT"/>
              </w:rPr>
            </w:pPr>
            <w:r w:rsidRPr="00B33619">
              <w:rPr>
                <w:i w:val="0"/>
                <w:sz w:val="20"/>
                <w:u w:val="single"/>
                <w:lang w:val="it-IT"/>
              </w:rPr>
              <w:t>Giugno 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E91" w:rsidRPr="00150276" w:rsidRDefault="00F83E91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F83E91" w:rsidRPr="00961890" w:rsidRDefault="00F83E91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u w:val="single"/>
                <w:lang w:val="it-IT"/>
              </w:rPr>
            </w:pPr>
            <w:r w:rsidRPr="00961890">
              <w:rPr>
                <w:b/>
                <w:i w:val="0"/>
                <w:sz w:val="20"/>
                <w:u w:val="single"/>
                <w:lang w:val="it-IT"/>
              </w:rPr>
              <w:t>Laure Magistrale in Giurisprudenza</w:t>
            </w:r>
            <w:r w:rsidRPr="00961890">
              <w:rPr>
                <w:i w:val="0"/>
                <w:sz w:val="20"/>
                <w:u w:val="single"/>
                <w:lang w:val="it-IT"/>
              </w:rPr>
              <w:t xml:space="preserve"> – Facoltà di Giurisprudenza, “La Sapienza” (Roma) </w:t>
            </w:r>
          </w:p>
          <w:p w:rsidR="00BA3AFF" w:rsidRPr="00150276" w:rsidRDefault="00BA3AFF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:rsidR="0063301A" w:rsidRPr="00150276" w:rsidRDefault="00B47103" w:rsidP="00B33619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B33619">
              <w:rPr>
                <w:i w:val="0"/>
                <w:sz w:val="20"/>
                <w:u w:val="single"/>
                <w:lang w:val="it-IT"/>
              </w:rPr>
              <w:t>Diploma di maturità classica</w:t>
            </w:r>
            <w:r w:rsidRPr="00150276">
              <w:rPr>
                <w:i w:val="0"/>
                <w:sz w:val="20"/>
                <w:lang w:val="it-IT"/>
              </w:rPr>
              <w:t xml:space="preserve"> – Liceo Classico N. Miraglia Lauria (Pz)</w:t>
            </w:r>
          </w:p>
        </w:tc>
      </w:tr>
      <w:tr w:rsidR="00E52024" w:rsidRPr="00150276" w:rsidTr="00C13FB1">
        <w:trPr>
          <w:gridAfter w:val="1"/>
          <w:wAfter w:w="294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2024" w:rsidRPr="00150276" w:rsidRDefault="00E52024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024" w:rsidRPr="00150276" w:rsidRDefault="00E52024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E52024" w:rsidRPr="00150276" w:rsidTr="00C13FB1">
        <w:trPr>
          <w:gridAfter w:val="1"/>
          <w:wAfter w:w="294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2024" w:rsidRPr="00150276" w:rsidRDefault="00E52024" w:rsidP="0063301A">
            <w:pPr>
              <w:pStyle w:val="Aaoeeu"/>
              <w:widowControl/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024" w:rsidRPr="00150276" w:rsidRDefault="00E52024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E52024" w:rsidRPr="00150276" w:rsidTr="00C13FB1">
        <w:trPr>
          <w:gridAfter w:val="1"/>
          <w:wAfter w:w="294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2024" w:rsidRPr="00150276" w:rsidRDefault="00E52024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024" w:rsidRPr="00150276" w:rsidRDefault="00E52024" w:rsidP="006C6E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6C6E2F" w:rsidRPr="00150276" w:rsidTr="00C13FB1">
        <w:trPr>
          <w:gridAfter w:val="3"/>
          <w:wAfter w:w="751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B33619">
            <w:pPr>
              <w:pStyle w:val="Aeeaoaeaa1"/>
              <w:widowControl/>
              <w:jc w:val="left"/>
              <w:rPr>
                <w:smallCaps/>
                <w:lang w:val="it-IT"/>
              </w:rPr>
            </w:pPr>
            <w:r w:rsidRPr="00150276">
              <w:rPr>
                <w:smallCaps/>
                <w:lang w:val="it-IT"/>
              </w:rPr>
              <w:t>Capacità e competenze personali</w:t>
            </w:r>
          </w:p>
          <w:p w:rsidR="006C6E2F" w:rsidRPr="00150276" w:rsidRDefault="006C6E2F" w:rsidP="006C6E2F">
            <w:pPr>
              <w:pStyle w:val="Aeeaoaeaa1"/>
              <w:widowControl/>
              <w:rPr>
                <w:b w:val="0"/>
                <w:smallCaps/>
                <w:lang w:val="it-IT"/>
              </w:rPr>
            </w:pPr>
          </w:p>
        </w:tc>
      </w:tr>
      <w:tr w:rsidR="006C6E2F" w:rsidRPr="00150276" w:rsidTr="00C13FB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B33619">
            <w:pPr>
              <w:pStyle w:val="Aaoeeu"/>
              <w:widowControl/>
              <w:spacing w:before="20" w:after="20"/>
              <w:ind w:right="33"/>
              <w:rPr>
                <w:lang w:val="it-IT"/>
              </w:rPr>
            </w:pPr>
            <w:r w:rsidRPr="00150276">
              <w:rPr>
                <w:smallCaps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164DFF" w:rsidP="006C6E2F">
            <w:pPr>
              <w:pStyle w:val="Eaoaeaa"/>
              <w:widowControl/>
              <w:spacing w:before="20" w:after="20"/>
              <w:rPr>
                <w:b/>
                <w:lang w:val="it-IT"/>
              </w:rPr>
            </w:pPr>
            <w:r w:rsidRPr="00150276">
              <w:rPr>
                <w:b/>
                <w:smallCaps/>
                <w:lang w:val="it-IT"/>
              </w:rPr>
              <w:t>Italiano</w:t>
            </w:r>
          </w:p>
        </w:tc>
      </w:tr>
    </w:tbl>
    <w:p w:rsidR="006C6E2F" w:rsidRPr="00150276" w:rsidRDefault="006C6E2F" w:rsidP="006C6E2F">
      <w:pPr>
        <w:pStyle w:val="Aaoeeu"/>
        <w:spacing w:before="20" w:after="20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B33619">
            <w:pPr>
              <w:pStyle w:val="Aeeaoaeaa1"/>
              <w:widowControl/>
              <w:jc w:val="left"/>
              <w:rPr>
                <w:b w:val="0"/>
                <w:smallCaps/>
                <w:lang w:val="it-IT"/>
              </w:rPr>
            </w:pPr>
            <w:r w:rsidRPr="00150276">
              <w:rPr>
                <w:b w:val="0"/>
                <w:smallCaps/>
                <w:lang w:val="it-IT"/>
              </w:rPr>
              <w:t>Altre lingua</w:t>
            </w:r>
          </w:p>
        </w:tc>
      </w:tr>
    </w:tbl>
    <w:p w:rsidR="006C6E2F" w:rsidRPr="00150276" w:rsidRDefault="006C6E2F" w:rsidP="006C6E2F">
      <w:pPr>
        <w:pStyle w:val="Aaoeeu"/>
        <w:spacing w:before="20" w:after="20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164DFF" w:rsidP="006C6E2F">
            <w:pPr>
              <w:pStyle w:val="Eaoaeaa"/>
              <w:widowControl/>
              <w:spacing w:before="20" w:after="20"/>
              <w:rPr>
                <w:b/>
                <w:lang w:val="it-IT"/>
              </w:rPr>
            </w:pPr>
            <w:r w:rsidRPr="00150276">
              <w:rPr>
                <w:b/>
                <w:smallCaps/>
                <w:lang w:val="it-IT"/>
              </w:rPr>
              <w:t>Inglese</w:t>
            </w:r>
          </w:p>
        </w:tc>
      </w:tr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B3361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i w:val="0"/>
                <w:lang w:val="it-IT"/>
              </w:rPr>
            </w:pPr>
            <w:r w:rsidRPr="00150276">
              <w:rPr>
                <w:b/>
                <w:i w:val="0"/>
                <w:lang w:val="it-IT"/>
              </w:rPr>
              <w:t xml:space="preserve">• </w:t>
            </w:r>
            <w:r w:rsidRPr="00150276">
              <w:rPr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2B04C4" w:rsidP="006C6E2F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150276">
              <w:rPr>
                <w:lang w:val="it-IT"/>
              </w:rPr>
              <w:t>B</w:t>
            </w:r>
            <w:r w:rsidR="00164DFF" w:rsidRPr="00150276">
              <w:rPr>
                <w:lang w:val="it-IT"/>
              </w:rPr>
              <w:t>uono</w:t>
            </w:r>
          </w:p>
        </w:tc>
      </w:tr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B33619">
            <w:pPr>
              <w:pStyle w:val="Aeeaoaeaa2"/>
              <w:widowControl/>
              <w:spacing w:before="20" w:after="20"/>
              <w:ind w:right="33"/>
              <w:jc w:val="left"/>
              <w:rPr>
                <w:i w:val="0"/>
                <w:lang w:val="it-IT"/>
              </w:rPr>
            </w:pPr>
            <w:r w:rsidRPr="00150276">
              <w:rPr>
                <w:b/>
                <w:i w:val="0"/>
                <w:lang w:val="it-IT"/>
              </w:rPr>
              <w:t xml:space="preserve">• </w:t>
            </w:r>
            <w:r w:rsidRPr="00150276">
              <w:rPr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2B04C4" w:rsidP="006C6E2F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150276">
              <w:rPr>
                <w:lang w:val="it-IT"/>
              </w:rPr>
              <w:t>B</w:t>
            </w:r>
            <w:r w:rsidR="00164DFF" w:rsidRPr="00150276">
              <w:rPr>
                <w:lang w:val="it-IT"/>
              </w:rPr>
              <w:t>uono</w:t>
            </w:r>
          </w:p>
        </w:tc>
      </w:tr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B33619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lang w:val="it-IT"/>
              </w:rPr>
            </w:pPr>
            <w:r w:rsidRPr="00150276">
              <w:rPr>
                <w:b/>
                <w:lang w:val="it-IT"/>
              </w:rPr>
              <w:t xml:space="preserve">• </w:t>
            </w:r>
            <w:r w:rsidRPr="00150276">
              <w:rPr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2B04C4" w:rsidP="006C6E2F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150276">
              <w:rPr>
                <w:lang w:val="it-IT"/>
              </w:rPr>
              <w:t>B</w:t>
            </w:r>
            <w:r w:rsidR="00164DFF" w:rsidRPr="00150276">
              <w:rPr>
                <w:lang w:val="it-IT"/>
              </w:rPr>
              <w:t>uono</w:t>
            </w:r>
          </w:p>
        </w:tc>
      </w:tr>
    </w:tbl>
    <w:p w:rsidR="006C6E2F" w:rsidRPr="00150276" w:rsidRDefault="006C6E2F" w:rsidP="006C6E2F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4DFF" w:rsidRPr="00150276" w:rsidRDefault="00164DF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lang w:val="it-IT"/>
              </w:rPr>
            </w:pPr>
          </w:p>
          <w:p w:rsidR="006C6E2F" w:rsidRPr="00150276" w:rsidRDefault="006C6E2F" w:rsidP="00B33619">
            <w:pPr>
              <w:pStyle w:val="Aaoeeu"/>
              <w:widowControl/>
              <w:spacing w:before="20" w:after="20"/>
              <w:ind w:right="33"/>
              <w:rPr>
                <w:smallCaps/>
                <w:lang w:val="it-IT"/>
              </w:rPr>
            </w:pPr>
            <w:r w:rsidRPr="00150276">
              <w:rPr>
                <w:smallCaps/>
                <w:lang w:val="it-IT"/>
              </w:rPr>
              <w:t>Capacità e competenze relazionali</w:t>
            </w:r>
          </w:p>
          <w:p w:rsidR="006C6E2F" w:rsidRPr="00150276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DFF" w:rsidRPr="00150276" w:rsidRDefault="00164DFF" w:rsidP="006C6E2F">
            <w:pPr>
              <w:pStyle w:val="Eaoaeaa"/>
              <w:widowControl/>
              <w:spacing w:before="20" w:after="20"/>
              <w:rPr>
                <w:smallCaps/>
                <w:lang w:val="it-IT"/>
              </w:rPr>
            </w:pPr>
          </w:p>
          <w:p w:rsidR="006C6E2F" w:rsidRPr="00150276" w:rsidRDefault="00164DFF" w:rsidP="006C6E2F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150276">
              <w:rPr>
                <w:lang w:val="it-IT"/>
              </w:rPr>
              <w:t>Ottima capacità di gestire i rapporti con i colleghi, di lavorare in equipe e di relazionare con il pubblico.</w:t>
            </w:r>
          </w:p>
        </w:tc>
      </w:tr>
    </w:tbl>
    <w:p w:rsidR="006C6E2F" w:rsidRPr="00150276" w:rsidRDefault="006C6E2F" w:rsidP="006C6E2F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B33619">
            <w:pPr>
              <w:pStyle w:val="Aaoeeu"/>
              <w:widowControl/>
              <w:spacing w:before="20" w:after="20"/>
              <w:ind w:right="33"/>
              <w:rPr>
                <w:lang w:val="it-IT"/>
              </w:rPr>
            </w:pPr>
            <w:r w:rsidRPr="00150276">
              <w:rPr>
                <w:smallCaps/>
                <w:lang w:val="it-IT"/>
              </w:rPr>
              <w:t xml:space="preserve">Capacità e competenze organizzative </w:t>
            </w:r>
            <w:r w:rsidRPr="00150276">
              <w:rPr>
                <w:lang w:val="it-IT"/>
              </w:rPr>
              <w:t xml:space="preserve"> </w:t>
            </w:r>
          </w:p>
          <w:p w:rsidR="006C6E2F" w:rsidRPr="00150276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lang w:val="it-IT"/>
              </w:rPr>
            </w:pPr>
            <w:r w:rsidRPr="00150276">
              <w:rPr>
                <w:i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164DFF" w:rsidP="006C6E2F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150276">
              <w:rPr>
                <w:lang w:val="it-IT"/>
              </w:rPr>
              <w:t>Ottima capacità di organizzare il lavoro in base a tempi e scadenze ristrette; Alta responsabilità nell’esecuzione dei compiti affidati.</w:t>
            </w:r>
          </w:p>
        </w:tc>
      </w:tr>
    </w:tbl>
    <w:p w:rsidR="006C6E2F" w:rsidRPr="00150276" w:rsidRDefault="006C6E2F" w:rsidP="006C6E2F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150276" w:rsidTr="00C13F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C13FB1">
            <w:pPr>
              <w:pStyle w:val="Aaoeeu"/>
              <w:widowControl/>
              <w:spacing w:before="20" w:after="20"/>
              <w:ind w:right="33"/>
              <w:rPr>
                <w:b/>
                <w:smallCaps/>
                <w:lang w:val="it-IT"/>
              </w:rPr>
            </w:pPr>
            <w:r w:rsidRPr="00150276">
              <w:rPr>
                <w:smallCaps/>
                <w:lang w:val="it-IT"/>
              </w:rPr>
              <w:lastRenderedPageBreak/>
              <w:t>Capacità e competenze tecniche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164DFF" w:rsidP="006C6E2F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150276">
              <w:rPr>
                <w:lang w:val="it-IT"/>
              </w:rPr>
              <w:t>Ottima dimestichezza e padronanza degli strumenti Micosoft Office;</w:t>
            </w:r>
          </w:p>
          <w:p w:rsidR="00164DFF" w:rsidRPr="00150276" w:rsidRDefault="00164DFF" w:rsidP="006C6E2F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150276">
              <w:rPr>
                <w:lang w:val="it-IT"/>
              </w:rPr>
              <w:t>Ottima dimestichezza nella gestione della piattaforma online per inserimento e pubblicazione di contenuti.</w:t>
            </w:r>
            <w:r w:rsidRPr="00150276">
              <w:rPr>
                <w:smallCaps/>
                <w:lang w:val="it-IT"/>
              </w:rPr>
              <w:t xml:space="preserve"> </w:t>
            </w:r>
          </w:p>
        </w:tc>
      </w:tr>
      <w:tr w:rsidR="006C6E2F" w:rsidRPr="00150276" w:rsidTr="00C13F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164DF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:rsidR="006C6E2F" w:rsidRPr="00150276" w:rsidRDefault="006C6E2F" w:rsidP="006C6E2F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164DFF">
            <w:pPr>
              <w:pStyle w:val="Aeeaoaeaa1"/>
              <w:widowControl/>
              <w:spacing w:before="20" w:after="20"/>
              <w:jc w:val="left"/>
              <w:rPr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:rsidR="006C6E2F" w:rsidRPr="00150276" w:rsidRDefault="006C6E2F" w:rsidP="006C6E2F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RPr="00150276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B33619">
            <w:pPr>
              <w:pStyle w:val="Aeeaoaeaa1"/>
              <w:widowControl/>
              <w:jc w:val="left"/>
              <w:rPr>
                <w:b w:val="0"/>
                <w:lang w:val="it-IT"/>
              </w:rPr>
            </w:pPr>
            <w:r w:rsidRPr="00150276">
              <w:rPr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6C6E2F" w:rsidP="006C6E2F">
            <w:pPr>
              <w:pStyle w:val="Aaoeeu"/>
              <w:widowControl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150276" w:rsidRDefault="00164DFF" w:rsidP="006C6E2F">
            <w:pPr>
              <w:pStyle w:val="Eaoaeaa"/>
              <w:widowControl/>
              <w:rPr>
                <w:lang w:val="it-IT"/>
              </w:rPr>
            </w:pPr>
            <w:r w:rsidRPr="00150276">
              <w:rPr>
                <w:lang w:val="it-IT"/>
              </w:rPr>
              <w:t>In possesso di patente di guida di tipo B.</w:t>
            </w:r>
          </w:p>
        </w:tc>
      </w:tr>
    </w:tbl>
    <w:p w:rsidR="006C6E2F" w:rsidRPr="00150276" w:rsidRDefault="006C6E2F" w:rsidP="006C6E2F">
      <w:pPr>
        <w:pStyle w:val="Aaoeeu"/>
        <w:widowControl/>
        <w:rPr>
          <w:lang w:val="it-IT"/>
        </w:rPr>
      </w:pPr>
    </w:p>
    <w:p w:rsidR="006C6E2F" w:rsidRPr="00150276" w:rsidRDefault="006C6E2F" w:rsidP="006C6E2F">
      <w:pPr>
        <w:pStyle w:val="Aaoeeu"/>
        <w:widowControl/>
        <w:spacing w:before="20" w:after="20"/>
        <w:rPr>
          <w:lang w:val="it-IT"/>
        </w:rPr>
      </w:pPr>
    </w:p>
    <w:p w:rsidR="00B33619" w:rsidRPr="00150276" w:rsidRDefault="00B33619" w:rsidP="00B33619">
      <w:pPr>
        <w:pStyle w:val="OiaeaeiYiio2"/>
        <w:widowControl/>
        <w:spacing w:before="20" w:after="20"/>
        <w:jc w:val="left"/>
        <w:rPr>
          <w:b/>
          <w:i w:val="0"/>
          <w:sz w:val="20"/>
          <w:lang w:val="it-IT"/>
        </w:rPr>
      </w:pPr>
      <w:r>
        <w:rPr>
          <w:b/>
          <w:i w:val="0"/>
          <w:sz w:val="20"/>
          <w:lang w:val="it-IT"/>
        </w:rPr>
        <w:t xml:space="preserve">Altro - </w:t>
      </w:r>
      <w:r w:rsidRPr="00150276">
        <w:rPr>
          <w:b/>
          <w:i w:val="0"/>
          <w:sz w:val="20"/>
          <w:lang w:val="it-IT"/>
        </w:rPr>
        <w:t>Pubblicazioni scientifiche</w:t>
      </w:r>
    </w:p>
    <w:p w:rsidR="00B33619" w:rsidRPr="00150276" w:rsidRDefault="00B33619" w:rsidP="00B33619">
      <w:pPr>
        <w:pStyle w:val="OiaeaeiYiio2"/>
        <w:widowControl/>
        <w:spacing w:before="20" w:after="20"/>
        <w:jc w:val="left"/>
        <w:rPr>
          <w:i w:val="0"/>
          <w:sz w:val="20"/>
          <w:lang w:val="it-IT"/>
        </w:rPr>
      </w:pP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i w:val="0"/>
          <w:sz w:val="20"/>
          <w:lang w:val="it-IT"/>
        </w:rPr>
      </w:pPr>
    </w:p>
    <w:p w:rsidR="00340173" w:rsidRDefault="00340173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  <w:r w:rsidRPr="00340173">
        <w:rPr>
          <w:sz w:val="20"/>
          <w:lang w:val="it-IT"/>
        </w:rPr>
        <w:t>L'ardua impresa di trovare un equilibrio tra diritto di difesa e ragioni di celerità del processo</w:t>
      </w:r>
    </w:p>
    <w:p w:rsidR="00340173" w:rsidRDefault="00340173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</w:p>
    <w:p w:rsidR="004536D6" w:rsidRDefault="004536D6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  <w:r w:rsidRPr="00150276">
        <w:rPr>
          <w:sz w:val="20"/>
          <w:lang w:val="it-IT"/>
        </w:rPr>
        <w:t>Il nuovo art. 162-ter c.p.: esempio di “restorative justice” o istituto orientato ad una semplice funzione deflattiva?</w:t>
      </w:r>
    </w:p>
    <w:p w:rsidR="00340173" w:rsidRDefault="00340173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</w:p>
    <w:p w:rsidR="00340173" w:rsidRPr="00150276" w:rsidRDefault="00340173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  <w:r w:rsidRPr="00340173">
        <w:rPr>
          <w:sz w:val="20"/>
          <w:lang w:val="it-IT"/>
        </w:rPr>
        <w:t>Doppio grado di merito: non eccesso di garantismo, ma condizione di giustizia</w:t>
      </w: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  <w:r w:rsidRPr="00150276">
        <w:rPr>
          <w:sz w:val="20"/>
          <w:lang w:val="it-IT"/>
        </w:rPr>
        <w:t>Messaggistica tra telefonia Blackberry: nuove prassi devianti al limite dell'abuso del processo</w:t>
      </w: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i w:val="0"/>
          <w:sz w:val="20"/>
          <w:lang w:val="it-IT"/>
        </w:rPr>
      </w:pP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  <w:r w:rsidRPr="00150276">
        <w:rPr>
          <w:sz w:val="20"/>
          <w:lang w:val="it-IT"/>
        </w:rPr>
        <w:t>Particolare tenuità del fatto - Trib. Asti, 13 a</w:t>
      </w:r>
      <w:r>
        <w:rPr>
          <w:sz w:val="20"/>
          <w:lang w:val="it-IT"/>
        </w:rPr>
        <w:t xml:space="preserve">prile 2015, X., </w:t>
      </w:r>
      <w:r w:rsidRPr="006C6289">
        <w:rPr>
          <w:sz w:val="20"/>
          <w:lang w:val="it-IT"/>
        </w:rPr>
        <w:t>Tenuità del fatto: le prime applicazioni anche in fase predibattimentale</w:t>
      </w:r>
    </w:p>
    <w:p w:rsidR="004536D6" w:rsidRPr="00FF39BC" w:rsidRDefault="004536D6" w:rsidP="004536D6">
      <w:pPr>
        <w:pStyle w:val="OiaeaeiYiio2"/>
        <w:widowControl/>
        <w:spacing w:before="20" w:after="20"/>
        <w:jc w:val="both"/>
        <w:rPr>
          <w:sz w:val="20"/>
          <w:lang w:val="it-IT"/>
        </w:rPr>
      </w:pPr>
    </w:p>
    <w:p w:rsidR="004536D6" w:rsidRDefault="004536D6" w:rsidP="004536D6">
      <w:pPr>
        <w:pStyle w:val="OiaeaeiYiio2"/>
        <w:widowControl/>
        <w:spacing w:before="20" w:after="20"/>
        <w:jc w:val="both"/>
        <w:rPr>
          <w:sz w:val="20"/>
          <w:lang w:val="it-IT"/>
        </w:rPr>
      </w:pPr>
      <w:r w:rsidRPr="00FF39BC">
        <w:rPr>
          <w:sz w:val="20"/>
          <w:lang w:val="it-IT"/>
        </w:rPr>
        <w:t xml:space="preserve">Traduzione degli atti/Imputato alloglotta - Cass., Sez. VI, 24 novembre 2014 (ud. 22 ottobre 2014), Carbonaro, </w:t>
      </w:r>
      <w:r w:rsidRPr="00FF39BC">
        <w:rPr>
          <w:sz w:val="20"/>
        </w:rPr>
        <w:t>Apparente e non effettiva</w:t>
      </w:r>
      <w:r>
        <w:rPr>
          <w:sz w:val="20"/>
        </w:rPr>
        <w:t xml:space="preserve"> la partecipazione al processo </w:t>
      </w:r>
      <w:r w:rsidRPr="00FF39BC">
        <w:rPr>
          <w:sz w:val="20"/>
          <w:lang w:val="it-IT"/>
        </w:rPr>
        <w:t>senza la conoscenza degli atti che lo compongono</w:t>
      </w:r>
    </w:p>
    <w:p w:rsidR="004536D6" w:rsidRDefault="004536D6" w:rsidP="004536D6">
      <w:pPr>
        <w:pStyle w:val="OiaeaeiYiio2"/>
        <w:widowControl/>
        <w:spacing w:before="20" w:after="20"/>
        <w:jc w:val="both"/>
        <w:rPr>
          <w:sz w:val="20"/>
          <w:lang w:val="it-IT"/>
        </w:rPr>
      </w:pPr>
    </w:p>
    <w:p w:rsidR="004536D6" w:rsidRPr="00FF39BC" w:rsidRDefault="004536D6" w:rsidP="004536D6">
      <w:pPr>
        <w:pStyle w:val="OiaeaeiYiio2"/>
        <w:widowControl/>
        <w:spacing w:before="20" w:after="20"/>
        <w:jc w:val="both"/>
        <w:rPr>
          <w:sz w:val="20"/>
        </w:rPr>
      </w:pPr>
      <w:r w:rsidRPr="00FF39BC">
        <w:rPr>
          <w:sz w:val="20"/>
        </w:rPr>
        <w:t>Violazione dell’obbligo di esibizio</w:t>
      </w:r>
      <w:r>
        <w:rPr>
          <w:sz w:val="20"/>
        </w:rPr>
        <w:t xml:space="preserve">ne della “carta di permanenza”: </w:t>
      </w:r>
      <w:r w:rsidRPr="00FF39BC">
        <w:rPr>
          <w:sz w:val="20"/>
        </w:rPr>
        <w:t>la risposta delle Sezioni unite</w:t>
      </w: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  <w:r w:rsidRPr="00150276">
        <w:rPr>
          <w:sz w:val="20"/>
          <w:lang w:val="it-IT"/>
        </w:rPr>
        <w:t>Difesa legittima - Cass., I, 3 febbraio 2014 (ud. 2</w:t>
      </w:r>
      <w:r>
        <w:rPr>
          <w:sz w:val="20"/>
          <w:lang w:val="it-IT"/>
        </w:rPr>
        <w:t>4 ottobre 2013), Lamonaca, Legittima difesa tra limiti e consensi</w:t>
      </w: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  <w:r w:rsidRPr="00150276">
        <w:rPr>
          <w:sz w:val="20"/>
          <w:lang w:val="it-IT"/>
        </w:rPr>
        <w:t>Prove/Intercettazioni ambientali - Cass., Sez. II, 5 giugno 2013, (ud. 15 marzo 2013), Monti Conde</w:t>
      </w:r>
      <w:r>
        <w:rPr>
          <w:sz w:val="20"/>
          <w:lang w:val="it-IT"/>
        </w:rPr>
        <w:t>snitt, Impianti “esterni” e motivazione lacunosa</w:t>
      </w:r>
    </w:p>
    <w:p w:rsidR="004536D6" w:rsidRPr="00150276" w:rsidRDefault="004536D6" w:rsidP="004536D6">
      <w:pPr>
        <w:pStyle w:val="OiaeaeiYiio2"/>
        <w:widowControl/>
        <w:spacing w:before="20" w:after="20"/>
        <w:jc w:val="left"/>
        <w:rPr>
          <w:sz w:val="20"/>
          <w:lang w:val="it-IT"/>
        </w:rPr>
      </w:pPr>
    </w:p>
    <w:p w:rsidR="004536D6" w:rsidRDefault="004536D6" w:rsidP="004536D6">
      <w:r w:rsidRPr="00E24D25">
        <w:rPr>
          <w:i/>
        </w:rPr>
        <w:t>Le indagini preliminari fra nodi interpretativi e prospettive di rifor</w:t>
      </w:r>
      <w:r>
        <w:rPr>
          <w:i/>
        </w:rPr>
        <w:t>ma (19 febbraio 2014, Roma),</w:t>
      </w:r>
      <w:r w:rsidRPr="00E24D25">
        <w:rPr>
          <w:i/>
        </w:rPr>
        <w:t xml:space="preserve"> cronaca dell'evento</w:t>
      </w:r>
    </w:p>
    <w:p w:rsidR="004536D6" w:rsidRPr="00C104D1" w:rsidRDefault="004536D6" w:rsidP="004536D6">
      <w:pPr>
        <w:rPr>
          <w:i/>
          <w:sz w:val="24"/>
          <w:szCs w:val="24"/>
        </w:rPr>
      </w:pPr>
    </w:p>
    <w:p w:rsidR="004536D6" w:rsidRPr="00A86835" w:rsidRDefault="004536D6" w:rsidP="004536D6">
      <w:pPr>
        <w:rPr>
          <w:i/>
        </w:rPr>
      </w:pPr>
      <w:r w:rsidRPr="00C104D1">
        <w:rPr>
          <w:i/>
        </w:rPr>
        <w:t>Italia “maglia nera” a Strasburgo. A proposito di un eccesso che continua</w:t>
      </w:r>
    </w:p>
    <w:p w:rsidR="00873825" w:rsidRDefault="00873825"/>
    <w:p w:rsidR="00873825" w:rsidRPr="00873825" w:rsidRDefault="00873825">
      <w:pPr>
        <w:rPr>
          <w:i/>
        </w:rPr>
      </w:pPr>
      <w:r>
        <w:rPr>
          <w:i/>
        </w:rPr>
        <w:t xml:space="preserve">L’effettiva partecipazione dell’imputato al processo. Profili comparatistici Spagna Italina, </w:t>
      </w:r>
      <w:r>
        <w:t xml:space="preserve">in </w:t>
      </w:r>
      <w:r>
        <w:rPr>
          <w:i/>
        </w:rPr>
        <w:t>Raccolta di atti IV Processulus</w:t>
      </w:r>
    </w:p>
    <w:p w:rsidR="00873825" w:rsidRDefault="00873825">
      <w:pPr>
        <w:rPr>
          <w:i/>
        </w:rPr>
      </w:pPr>
    </w:p>
    <w:p w:rsidR="0018478F" w:rsidRDefault="0018478F">
      <w:r>
        <w:rPr>
          <w:i/>
        </w:rPr>
        <w:t xml:space="preserve">I termini, </w:t>
      </w:r>
      <w:r w:rsidR="007A09DF">
        <w:t xml:space="preserve">Parte terza, </w:t>
      </w:r>
      <w:r w:rsidR="007A09DF" w:rsidRPr="007A09DF">
        <w:rPr>
          <w:i/>
        </w:rPr>
        <w:t>Gli atti del processo, le dinamiche, le prove e le decisioni</w:t>
      </w:r>
      <w:r w:rsidR="007A09DF">
        <w:t xml:space="preserve">, in </w:t>
      </w:r>
      <w:r>
        <w:rPr>
          <w:i/>
        </w:rPr>
        <w:t xml:space="preserve">Manuale di procedura penale, </w:t>
      </w:r>
      <w:r>
        <w:t>I</w:t>
      </w:r>
      <w:r w:rsidR="000C3A28">
        <w:t>psoa, a cura di A. Gaito, 2018</w:t>
      </w:r>
      <w:r w:rsidR="00A86835">
        <w:t>.</w:t>
      </w:r>
    </w:p>
    <w:p w:rsidR="00514E8A" w:rsidRDefault="00514E8A"/>
    <w:p w:rsidR="00514E8A" w:rsidRDefault="00514E8A" w:rsidP="00514E8A">
      <w:r>
        <w:rPr>
          <w:i/>
        </w:rPr>
        <w:t xml:space="preserve">Atti del giudice atti delle parti, </w:t>
      </w:r>
      <w:r w:rsidR="007A09DF">
        <w:t xml:space="preserve">Parte terza, </w:t>
      </w:r>
      <w:r w:rsidR="007A09DF" w:rsidRPr="007A09DF">
        <w:rPr>
          <w:i/>
        </w:rPr>
        <w:t>Gli atti del processo, le dinamiche, le prove e le decisioni</w:t>
      </w:r>
      <w:r>
        <w:t>,</w:t>
      </w:r>
      <w:r w:rsidR="007A09DF">
        <w:t xml:space="preserve"> in</w:t>
      </w:r>
      <w:r>
        <w:t xml:space="preserve"> </w:t>
      </w:r>
      <w:r>
        <w:rPr>
          <w:i/>
        </w:rPr>
        <w:t xml:space="preserve">Manuale di procedura penale, </w:t>
      </w:r>
      <w:r>
        <w:t xml:space="preserve">Ipsoa, a cura di A. Gaito, </w:t>
      </w:r>
      <w:r w:rsidR="000C3A28">
        <w:t>2018</w:t>
      </w:r>
      <w:r w:rsidR="00A86835">
        <w:t>.</w:t>
      </w:r>
      <w:r w:rsidR="000C3A28">
        <w:t xml:space="preserve"> </w:t>
      </w:r>
    </w:p>
    <w:p w:rsidR="00514E8A" w:rsidRDefault="00514E8A" w:rsidP="00514E8A"/>
    <w:p w:rsidR="00514E8A" w:rsidRDefault="00514E8A" w:rsidP="00514E8A">
      <w:r>
        <w:rPr>
          <w:i/>
        </w:rPr>
        <w:t xml:space="preserve">Le notificazioni, </w:t>
      </w:r>
      <w:r w:rsidR="007A09DF">
        <w:t xml:space="preserve">Parte terza, </w:t>
      </w:r>
      <w:r w:rsidR="007A09DF" w:rsidRPr="007A09DF">
        <w:rPr>
          <w:i/>
        </w:rPr>
        <w:t>Gli atti del processo, le dinamiche, le prove e le decisioni</w:t>
      </w:r>
      <w:r w:rsidR="007A09DF">
        <w:rPr>
          <w:i/>
        </w:rPr>
        <w:t xml:space="preserve">, </w:t>
      </w:r>
      <w:r w:rsidR="007A09DF">
        <w:t xml:space="preserve">in </w:t>
      </w:r>
      <w:r>
        <w:rPr>
          <w:i/>
        </w:rPr>
        <w:t xml:space="preserve">Manuale di procedura penale, </w:t>
      </w:r>
      <w:r>
        <w:t xml:space="preserve">Ipsoa, a cura di A. Gaito, </w:t>
      </w:r>
      <w:r w:rsidR="000C3A28">
        <w:t>2018</w:t>
      </w:r>
      <w:r w:rsidR="00A86835">
        <w:t>.</w:t>
      </w:r>
      <w:r w:rsidR="000C3A28">
        <w:t xml:space="preserve"> </w:t>
      </w:r>
    </w:p>
    <w:p w:rsidR="000C3A28" w:rsidRDefault="000C3A28" w:rsidP="00514E8A"/>
    <w:p w:rsidR="00A86835" w:rsidRDefault="000C3A28" w:rsidP="00A86835">
      <w:r>
        <w:rPr>
          <w:i/>
        </w:rPr>
        <w:t xml:space="preserve">Lingua, traduzione e interprete, </w:t>
      </w:r>
      <w:r w:rsidR="00A86835">
        <w:t xml:space="preserve">Parte terza, </w:t>
      </w:r>
      <w:r w:rsidR="00A86835" w:rsidRPr="007A09DF">
        <w:rPr>
          <w:i/>
        </w:rPr>
        <w:t>Gli atti del processo, le dinamiche, le prove e le decisioni</w:t>
      </w:r>
      <w:r w:rsidR="00A86835">
        <w:rPr>
          <w:i/>
        </w:rPr>
        <w:t xml:space="preserve">, </w:t>
      </w:r>
      <w:r w:rsidR="00A86835">
        <w:t xml:space="preserve">in </w:t>
      </w:r>
      <w:r w:rsidR="00A86835">
        <w:rPr>
          <w:i/>
        </w:rPr>
        <w:t xml:space="preserve">Manuale di procedura penale, </w:t>
      </w:r>
      <w:r w:rsidR="00A86835">
        <w:t xml:space="preserve">Ipsoa, a cura di A. Gaito, 2018. </w:t>
      </w:r>
    </w:p>
    <w:p w:rsidR="00A86835" w:rsidRDefault="00A86835" w:rsidP="00A86835"/>
    <w:p w:rsidR="000C3A28" w:rsidRPr="000C3A28" w:rsidRDefault="000C3A28" w:rsidP="00514E8A">
      <w:pPr>
        <w:rPr>
          <w:i/>
        </w:rPr>
      </w:pPr>
    </w:p>
    <w:p w:rsidR="0018478F" w:rsidRDefault="0018478F"/>
    <w:p w:rsidR="0018478F" w:rsidRDefault="0018478F"/>
    <w:p w:rsidR="0018478F" w:rsidRDefault="0018478F"/>
    <w:p w:rsidR="0018478F" w:rsidRDefault="0018478F"/>
    <w:p w:rsidR="00C13FB1" w:rsidRDefault="00873825">
      <w:r>
        <w:t>Giugno</w:t>
      </w:r>
      <w:r w:rsidR="00AF1C70">
        <w:t xml:space="preserve"> 2018                                                                                                                      Domenica Naike Cascini</w:t>
      </w:r>
    </w:p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C13FB1" w:rsidRDefault="00C13FB1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644603" w:rsidRDefault="00644603"/>
    <w:p w:rsidR="007929CE" w:rsidRDefault="00C13FB1">
      <w:r>
        <w:t>Autorizzo il trattamento dei miei dati personali ai sensi della normativa vigente.</w:t>
      </w:r>
      <w:r w:rsidR="00644603">
        <w:t xml:space="preserve"> </w:t>
      </w:r>
    </w:p>
    <w:p w:rsidR="00C13FB1" w:rsidRPr="00150276" w:rsidRDefault="00644603">
      <w:r>
        <w:t>Curriculum destinato alla pubblicazione in trasparenza.</w:t>
      </w:r>
    </w:p>
    <w:sectPr w:rsidR="00C13FB1" w:rsidRPr="00150276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E8" w:rsidRDefault="001B58E8">
      <w:r>
        <w:separator/>
      </w:r>
    </w:p>
  </w:endnote>
  <w:endnote w:type="continuationSeparator" w:id="0">
    <w:p w:rsidR="001B58E8" w:rsidRDefault="001B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2F" w:rsidRPr="00961890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 w:rsidRPr="00961890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Pr="00961890" w:rsidRDefault="006C6E2F">
          <w:pPr>
            <w:pStyle w:val="Aaoeeu"/>
            <w:widowControl/>
            <w:tabs>
              <w:tab w:val="left" w:pos="3261"/>
            </w:tabs>
            <w:jc w:val="right"/>
            <w:rPr>
              <w:i/>
              <w:sz w:val="16"/>
              <w:lang w:val="it-IT"/>
            </w:rPr>
          </w:pPr>
          <w:r w:rsidRPr="00961890">
            <w:rPr>
              <w:i/>
              <w:sz w:val="16"/>
              <w:lang w:val="it-IT"/>
            </w:rPr>
            <w:t xml:space="preserve">Pagina </w:t>
          </w:r>
          <w:r w:rsidRPr="00961890">
            <w:rPr>
              <w:i/>
              <w:sz w:val="16"/>
            </w:rPr>
            <w:fldChar w:fldCharType="begin"/>
          </w:r>
          <w:r w:rsidRPr="00961890">
            <w:rPr>
              <w:i/>
              <w:sz w:val="16"/>
              <w:lang w:val="it-IT"/>
            </w:rPr>
            <w:instrText xml:space="preserve">page </w:instrText>
          </w:r>
          <w:r w:rsidRPr="00961890">
            <w:rPr>
              <w:i/>
              <w:sz w:val="16"/>
            </w:rPr>
            <w:fldChar w:fldCharType="separate"/>
          </w:r>
          <w:r w:rsidR="00F05EE9">
            <w:rPr>
              <w:i/>
              <w:noProof/>
              <w:sz w:val="16"/>
              <w:lang w:val="it-IT"/>
            </w:rPr>
            <w:t>2</w:t>
          </w:r>
          <w:r w:rsidRPr="00961890">
            <w:rPr>
              <w:i/>
              <w:sz w:val="16"/>
            </w:rPr>
            <w:fldChar w:fldCharType="end"/>
          </w:r>
          <w:r w:rsidRPr="00961890">
            <w:rPr>
              <w:i/>
              <w:sz w:val="16"/>
              <w:lang w:val="it-IT"/>
            </w:rPr>
            <w:t xml:space="preserve"> - Curriculum vitae di</w:t>
          </w:r>
        </w:p>
        <w:p w:rsidR="006C6E2F" w:rsidRPr="00961890" w:rsidRDefault="00961890">
          <w:pPr>
            <w:pStyle w:val="Aaoeeu"/>
            <w:widowControl/>
            <w:tabs>
              <w:tab w:val="left" w:pos="3261"/>
            </w:tabs>
            <w:jc w:val="right"/>
            <w:rPr>
              <w:sz w:val="16"/>
              <w:lang w:val="it-IT"/>
            </w:rPr>
          </w:pPr>
          <w:r w:rsidRPr="00961890">
            <w:rPr>
              <w:i/>
              <w:sz w:val="16"/>
              <w:lang w:val="it-IT"/>
            </w:rPr>
            <w:t>CASCINI DOMENICA NAIKE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Pr="00961890" w:rsidRDefault="006C6E2F">
          <w:pPr>
            <w:pStyle w:val="Aaoeeu"/>
            <w:widowControl/>
            <w:tabs>
              <w:tab w:val="left" w:pos="3261"/>
            </w:tabs>
            <w:rPr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Pr="00961890" w:rsidRDefault="006C6E2F" w:rsidP="006C6E2F">
          <w:pPr>
            <w:pStyle w:val="OiaeaeiYiio2"/>
            <w:widowControl/>
            <w:jc w:val="left"/>
            <w:rPr>
              <w:i w:val="0"/>
              <w:lang w:val="it-IT"/>
            </w:rPr>
          </w:pPr>
        </w:p>
      </w:tc>
    </w:tr>
  </w:tbl>
  <w:p w:rsidR="006C6E2F" w:rsidRPr="00961890" w:rsidRDefault="006C6E2F">
    <w:pPr>
      <w:pStyle w:val="Aaoeeu"/>
      <w:widowControl/>
      <w:tabs>
        <w:tab w:val="left" w:pos="3261"/>
      </w:tabs>
      <w:rPr>
        <w:sz w:val="18"/>
        <w:lang w:val="it-IT"/>
      </w:rPr>
    </w:pPr>
    <w:r w:rsidRPr="00961890">
      <w:rPr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E8" w:rsidRDefault="001B58E8">
      <w:r>
        <w:separator/>
      </w:r>
    </w:p>
  </w:footnote>
  <w:footnote w:type="continuationSeparator" w:id="0">
    <w:p w:rsidR="001B58E8" w:rsidRDefault="001B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2F"/>
    <w:rsid w:val="00003866"/>
    <w:rsid w:val="000837CA"/>
    <w:rsid w:val="000869EE"/>
    <w:rsid w:val="000B5CE6"/>
    <w:rsid w:val="000B6245"/>
    <w:rsid w:val="000C3A28"/>
    <w:rsid w:val="000C5C04"/>
    <w:rsid w:val="000D7974"/>
    <w:rsid w:val="0010349C"/>
    <w:rsid w:val="001059CF"/>
    <w:rsid w:val="00150276"/>
    <w:rsid w:val="00164DFF"/>
    <w:rsid w:val="00181FED"/>
    <w:rsid w:val="0018478F"/>
    <w:rsid w:val="001876D1"/>
    <w:rsid w:val="001B58E8"/>
    <w:rsid w:val="001C0EA5"/>
    <w:rsid w:val="001D6BCB"/>
    <w:rsid w:val="001E583C"/>
    <w:rsid w:val="0020010C"/>
    <w:rsid w:val="00221E68"/>
    <w:rsid w:val="00240351"/>
    <w:rsid w:val="00271A28"/>
    <w:rsid w:val="00274817"/>
    <w:rsid w:val="002B04C4"/>
    <w:rsid w:val="002B10F5"/>
    <w:rsid w:val="002D4655"/>
    <w:rsid w:val="002E2E1A"/>
    <w:rsid w:val="003305BE"/>
    <w:rsid w:val="00340173"/>
    <w:rsid w:val="003417D9"/>
    <w:rsid w:val="00363FFB"/>
    <w:rsid w:val="003655FA"/>
    <w:rsid w:val="003A624C"/>
    <w:rsid w:val="003A7C07"/>
    <w:rsid w:val="003E54E9"/>
    <w:rsid w:val="003F0940"/>
    <w:rsid w:val="003F7DE9"/>
    <w:rsid w:val="00410378"/>
    <w:rsid w:val="00412877"/>
    <w:rsid w:val="00442382"/>
    <w:rsid w:val="0044397D"/>
    <w:rsid w:val="004536D6"/>
    <w:rsid w:val="00455D73"/>
    <w:rsid w:val="00471203"/>
    <w:rsid w:val="00493B28"/>
    <w:rsid w:val="00495A9E"/>
    <w:rsid w:val="00496D9B"/>
    <w:rsid w:val="004A3A63"/>
    <w:rsid w:val="004B2B2B"/>
    <w:rsid w:val="004C21A1"/>
    <w:rsid w:val="004D173E"/>
    <w:rsid w:val="004E186E"/>
    <w:rsid w:val="004E22D4"/>
    <w:rsid w:val="004E2B80"/>
    <w:rsid w:val="004E7BA7"/>
    <w:rsid w:val="004F43F1"/>
    <w:rsid w:val="005106D2"/>
    <w:rsid w:val="00514B82"/>
    <w:rsid w:val="00514E8A"/>
    <w:rsid w:val="005318DF"/>
    <w:rsid w:val="00546EA8"/>
    <w:rsid w:val="00556180"/>
    <w:rsid w:val="00564B94"/>
    <w:rsid w:val="0057152D"/>
    <w:rsid w:val="005B1D59"/>
    <w:rsid w:val="005B508E"/>
    <w:rsid w:val="005B6F85"/>
    <w:rsid w:val="005F1082"/>
    <w:rsid w:val="00601DF0"/>
    <w:rsid w:val="00605F23"/>
    <w:rsid w:val="00615217"/>
    <w:rsid w:val="0063301A"/>
    <w:rsid w:val="00635D0E"/>
    <w:rsid w:val="00644603"/>
    <w:rsid w:val="006553B7"/>
    <w:rsid w:val="00677476"/>
    <w:rsid w:val="006B5E36"/>
    <w:rsid w:val="006C46D9"/>
    <w:rsid w:val="006C6E2F"/>
    <w:rsid w:val="006D5F6C"/>
    <w:rsid w:val="0070538C"/>
    <w:rsid w:val="00717FB2"/>
    <w:rsid w:val="00764CCF"/>
    <w:rsid w:val="00776C91"/>
    <w:rsid w:val="0077712A"/>
    <w:rsid w:val="00784234"/>
    <w:rsid w:val="007929CE"/>
    <w:rsid w:val="007976E8"/>
    <w:rsid w:val="007A09DF"/>
    <w:rsid w:val="007A6B2A"/>
    <w:rsid w:val="007E58BC"/>
    <w:rsid w:val="00802124"/>
    <w:rsid w:val="0081170A"/>
    <w:rsid w:val="00834AA7"/>
    <w:rsid w:val="00873825"/>
    <w:rsid w:val="008A3A07"/>
    <w:rsid w:val="008B39B7"/>
    <w:rsid w:val="008C3D61"/>
    <w:rsid w:val="008E7053"/>
    <w:rsid w:val="008F70C7"/>
    <w:rsid w:val="00907122"/>
    <w:rsid w:val="00912501"/>
    <w:rsid w:val="00913FAB"/>
    <w:rsid w:val="00944CA7"/>
    <w:rsid w:val="009453C8"/>
    <w:rsid w:val="00946B9B"/>
    <w:rsid w:val="00960030"/>
    <w:rsid w:val="00961890"/>
    <w:rsid w:val="00991ECC"/>
    <w:rsid w:val="009945FD"/>
    <w:rsid w:val="009B573A"/>
    <w:rsid w:val="009B71B4"/>
    <w:rsid w:val="009C2316"/>
    <w:rsid w:val="009C6C95"/>
    <w:rsid w:val="009D4304"/>
    <w:rsid w:val="009D4BD1"/>
    <w:rsid w:val="009D51E4"/>
    <w:rsid w:val="00A01426"/>
    <w:rsid w:val="00A038B5"/>
    <w:rsid w:val="00A11729"/>
    <w:rsid w:val="00A15071"/>
    <w:rsid w:val="00A80808"/>
    <w:rsid w:val="00A8467A"/>
    <w:rsid w:val="00A86835"/>
    <w:rsid w:val="00AA5ACC"/>
    <w:rsid w:val="00AB6BCD"/>
    <w:rsid w:val="00AF1C70"/>
    <w:rsid w:val="00AF5CC6"/>
    <w:rsid w:val="00AF7994"/>
    <w:rsid w:val="00B33619"/>
    <w:rsid w:val="00B47103"/>
    <w:rsid w:val="00B57C09"/>
    <w:rsid w:val="00B71E73"/>
    <w:rsid w:val="00B72049"/>
    <w:rsid w:val="00B75582"/>
    <w:rsid w:val="00B77A6D"/>
    <w:rsid w:val="00B83D82"/>
    <w:rsid w:val="00BA3AFF"/>
    <w:rsid w:val="00BB68DE"/>
    <w:rsid w:val="00BB7E39"/>
    <w:rsid w:val="00BC06B5"/>
    <w:rsid w:val="00BC6311"/>
    <w:rsid w:val="00BD5F7A"/>
    <w:rsid w:val="00C13FB1"/>
    <w:rsid w:val="00C26474"/>
    <w:rsid w:val="00C30C56"/>
    <w:rsid w:val="00C40695"/>
    <w:rsid w:val="00C84F8E"/>
    <w:rsid w:val="00CA7C59"/>
    <w:rsid w:val="00CB1482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5FDE"/>
    <w:rsid w:val="00E24D25"/>
    <w:rsid w:val="00E3661A"/>
    <w:rsid w:val="00E44274"/>
    <w:rsid w:val="00E52024"/>
    <w:rsid w:val="00E54842"/>
    <w:rsid w:val="00E91443"/>
    <w:rsid w:val="00EC6DED"/>
    <w:rsid w:val="00EC7D87"/>
    <w:rsid w:val="00EE4100"/>
    <w:rsid w:val="00EF0B96"/>
    <w:rsid w:val="00EF6F3A"/>
    <w:rsid w:val="00F05EE9"/>
    <w:rsid w:val="00F126DD"/>
    <w:rsid w:val="00F33A3F"/>
    <w:rsid w:val="00F4043C"/>
    <w:rsid w:val="00F57AFA"/>
    <w:rsid w:val="00F57E77"/>
    <w:rsid w:val="00F83E91"/>
    <w:rsid w:val="00F83F96"/>
    <w:rsid w:val="00F87F18"/>
    <w:rsid w:val="00FD5C39"/>
    <w:rsid w:val="00FD74E2"/>
    <w:rsid w:val="00FE28A2"/>
    <w:rsid w:val="00FE4D43"/>
    <w:rsid w:val="00FF038E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9116-BCA3-4C05-906C-07C49068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character" w:styleId="Collegamentoipertestuale">
    <w:name w:val="Hyperlink"/>
    <w:uiPriority w:val="99"/>
    <w:unhideWhenUsed/>
    <w:rsid w:val="00363FFB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1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890"/>
    <w:rPr>
      <w:rFonts w:ascii="Times New Roman" w:eastAsia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0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rchiviopen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Softonic</Company>
  <LinksUpToDate>false</LinksUpToDate>
  <CharactersWithSpaces>6477</CharactersWithSpaces>
  <SharedDoc>false</SharedDoc>
  <HLinks>
    <vt:vector size="6" baseType="variant"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http://www.archiviopenale.it/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Softonic</dc:creator>
  <cp:keywords/>
  <dc:description/>
  <cp:lastModifiedBy>Chiara Tortora</cp:lastModifiedBy>
  <cp:revision>2</cp:revision>
  <dcterms:created xsi:type="dcterms:W3CDTF">2018-06-26T13:25:00Z</dcterms:created>
  <dcterms:modified xsi:type="dcterms:W3CDTF">2018-06-26T13:25:00Z</dcterms:modified>
</cp:coreProperties>
</file>