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93DB6" w14:textId="77777777" w:rsidR="00B21C13" w:rsidRPr="006B1A18" w:rsidRDefault="00B21C13">
      <w:pPr>
        <w:autoSpaceDE w:val="0"/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</w:pPr>
      <w:r w:rsidRPr="006B1A18">
        <w:rPr>
          <w:rFonts w:asciiTheme="majorHAnsi" w:hAnsiTheme="majorHAnsi" w:cstheme="majorHAnsi"/>
          <w:kern w:val="1"/>
          <w:sz w:val="18"/>
          <w:lang w:bidi="it-IT"/>
        </w:rPr>
        <w:t> </w:t>
      </w:r>
    </w:p>
    <w:p w14:paraId="4EDC5FFE" w14:textId="0B7E4412" w:rsidR="006D352B" w:rsidRPr="006B1A18" w:rsidRDefault="006D352B" w:rsidP="006D352B">
      <w:pPr>
        <w:autoSpaceDE w:val="0"/>
        <w:jc w:val="center"/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</w:pPr>
      <w:r w:rsidRPr="006B1A18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BANDO ERASMUS+ A.A. 20</w:t>
      </w:r>
      <w:r w:rsidR="00607B9A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20</w:t>
      </w:r>
      <w:r w:rsidRPr="006B1A18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/20</w:t>
      </w:r>
      <w:r w:rsidR="002D3A75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2</w:t>
      </w:r>
      <w:r w:rsidR="00607B9A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1</w:t>
      </w:r>
    </w:p>
    <w:p w14:paraId="599AD659" w14:textId="77777777" w:rsidR="00B80594" w:rsidRPr="006B1A18" w:rsidRDefault="00B80594" w:rsidP="006D352B">
      <w:pPr>
        <w:autoSpaceDE w:val="0"/>
        <w:jc w:val="center"/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</w:pPr>
    </w:p>
    <w:p w14:paraId="0EE12A50" w14:textId="37F02FCE" w:rsidR="00B21C13" w:rsidRPr="006B1A18" w:rsidRDefault="00454879">
      <w:pPr>
        <w:autoSpaceDE w:val="0"/>
        <w:jc w:val="center"/>
        <w:rPr>
          <w:rFonts w:asciiTheme="majorHAnsi" w:hAnsiTheme="majorHAnsi" w:cstheme="majorHAnsi"/>
          <w:kern w:val="1"/>
          <w:sz w:val="18"/>
          <w:szCs w:val="20"/>
          <w:lang w:bidi="it-IT"/>
        </w:rPr>
      </w:pPr>
      <w:r w:rsidRPr="006B1A1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>CORSO DI LAUREA MAGISTRALE (BIENNIO)</w:t>
      </w:r>
      <w:r w:rsidR="00B21C13" w:rsidRPr="006B1A1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 xml:space="preserve"> IN </w:t>
      </w:r>
      <w:r w:rsidRPr="006B1A1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>SCIENZE INFERMIERISTICHE E OSTETRICHE</w:t>
      </w:r>
      <w:r w:rsidR="00B21C13" w:rsidRPr="006B1A1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 xml:space="preserve"> – SEDE DI _____________________</w:t>
      </w:r>
      <w:r w:rsidR="006B1A18" w:rsidRPr="006B1A1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>_________________</w:t>
      </w:r>
    </w:p>
    <w:p w14:paraId="6F210591" w14:textId="77777777" w:rsidR="00B21C13" w:rsidRPr="006B1A18" w:rsidRDefault="00B21C13">
      <w:pPr>
        <w:autoSpaceDE w:val="0"/>
        <w:rPr>
          <w:rFonts w:asciiTheme="majorHAnsi" w:hAnsiTheme="majorHAnsi" w:cstheme="majorHAnsi"/>
          <w:kern w:val="1"/>
          <w:sz w:val="18"/>
          <w:szCs w:val="18"/>
          <w:lang w:bidi="it-IT"/>
        </w:rPr>
      </w:pPr>
      <w:r w:rsidRPr="006B1A18">
        <w:rPr>
          <w:rFonts w:asciiTheme="majorHAnsi" w:hAnsiTheme="majorHAnsi" w:cstheme="majorHAnsi"/>
          <w:kern w:val="1"/>
          <w:sz w:val="18"/>
          <w:szCs w:val="20"/>
          <w:lang w:bidi="it-IT"/>
        </w:rPr>
        <w:t> </w:t>
      </w:r>
    </w:p>
    <w:p w14:paraId="573C9041" w14:textId="77777777" w:rsidR="00607B9A" w:rsidRPr="000C30A8" w:rsidRDefault="00607B9A" w:rsidP="00607B9A">
      <w:pPr>
        <w:spacing w:line="360" w:lineRule="auto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Cognome e Nome _________________________________________________________________________________________</w:t>
      </w:r>
    </w:p>
    <w:p w14:paraId="4976F4A4" w14:textId="057651F8" w:rsidR="00607B9A" w:rsidRDefault="00607B9A" w:rsidP="00607B9A">
      <w:pPr>
        <w:spacing w:line="360" w:lineRule="auto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Immatricolato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/a 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al 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c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orso di </w:t>
      </w:r>
      <w:r w:rsidR="00EA4C79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laurea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in </w:t>
      </w:r>
      <w:r w:rsidR="00D67E7D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Scienze infermieristiche ed ostetriche 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nell’</w:t>
      </w:r>
      <w:proofErr w:type="spellStart"/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a.a</w:t>
      </w:r>
      <w:proofErr w:type="spellEnd"/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. 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ab/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ab/>
        <w:t>20……/20……</w:t>
      </w:r>
    </w:p>
    <w:p w14:paraId="7394080C" w14:textId="1408A126" w:rsidR="00607B9A" w:rsidRPr="0092586F" w:rsidRDefault="00607B9A" w:rsidP="00607B9A">
      <w:pPr>
        <w:spacing w:line="360" w:lineRule="auto"/>
        <w:rPr>
          <w:rFonts w:ascii="Calibri" w:hAnsi="Calibri" w:cs="Calibri"/>
          <w:b/>
          <w:bCs/>
          <w:sz w:val="18"/>
          <w:szCs w:val="18"/>
          <w:shd w:val="clear" w:color="auto" w:fill="FFFFFF"/>
          <w:lang w:eastAsia="it-IT"/>
        </w:rPr>
      </w:pP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Quando ti sei immatricolato/a al corso di </w:t>
      </w:r>
      <w:r w:rsidR="003B0D1C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laurea</w:t>
      </w:r>
      <w:r w:rsidR="003B0D1C"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in </w:t>
      </w:r>
      <w:r w:rsidR="003B0D1C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Scienze infermieristiche ed ostetriche 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 quale anno di corso ti sei iscritto/a? </w:t>
      </w:r>
      <w:r w:rsidRPr="0092586F">
        <w:rPr>
          <w:rFonts w:ascii="Calibri" w:hAnsi="Calibri" w:cs="Calibri"/>
          <w:b/>
          <w:bCs/>
          <w:sz w:val="18"/>
          <w:szCs w:val="18"/>
          <w:shd w:val="clear" w:color="auto" w:fill="FFFFFF"/>
          <w:lang w:eastAsia="it-IT"/>
        </w:rPr>
        <w:t>(Barrare una delle seguenti opzioni)</w:t>
      </w:r>
    </w:p>
    <w:p w14:paraId="1105B7B6" w14:textId="77777777" w:rsidR="00607B9A" w:rsidRPr="000C30A8" w:rsidRDefault="00607B9A" w:rsidP="00607B9A">
      <w:pPr>
        <w:numPr>
          <w:ilvl w:val="0"/>
          <w:numId w:val="2"/>
        </w:num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al I anno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</w:p>
    <w:p w14:paraId="236584A1" w14:textId="77777777" w:rsidR="00607B9A" w:rsidRDefault="00607B9A" w:rsidP="00607B9A">
      <w:pPr>
        <w:numPr>
          <w:ilvl w:val="0"/>
          <w:numId w:val="2"/>
        </w:num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al II anno perché 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ho 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sostenuto esami con art. 6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      </w:t>
      </w:r>
    </w:p>
    <w:p w14:paraId="089DE138" w14:textId="77777777" w:rsidR="00607B9A" w:rsidRPr="000C30A8" w:rsidRDefault="00607B9A" w:rsidP="00607B9A">
      <w:pPr>
        <w:numPr>
          <w:ilvl w:val="0"/>
          <w:numId w:val="2"/>
        </w:num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al II anno perché proveniente da altro corso di laurea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</w:p>
    <w:p w14:paraId="45524DF6" w14:textId="77777777" w:rsidR="00607B9A" w:rsidRPr="000C30A8" w:rsidRDefault="00607B9A" w:rsidP="00607B9A">
      <w:pPr>
        <w:spacing w:line="360" w:lineRule="auto"/>
        <w:rPr>
          <w:rFonts w:ascii="Calibri" w:hAnsi="Calibri" w:cs="Calibri"/>
          <w:sz w:val="18"/>
          <w:szCs w:val="18"/>
          <w:lang w:eastAsia="it-IT"/>
        </w:rPr>
      </w:pPr>
      <w:bookmarkStart w:id="0" w:name="_GoBack"/>
      <w:bookmarkEnd w:id="0"/>
    </w:p>
    <w:p w14:paraId="0185AFC3" w14:textId="77777777" w:rsidR="00607B9A" w:rsidRPr="000C30A8" w:rsidRDefault="00607B9A" w:rsidP="00607B9A">
      <w:pPr>
        <w:spacing w:line="240" w:lineRule="atLeast"/>
        <w:rPr>
          <w:rFonts w:ascii="Calibri" w:hAnsi="Calibri" w:cs="Calibri"/>
          <w:sz w:val="18"/>
          <w:szCs w:val="18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Media ARITMETICA Esami (Precisa con due decimali – senza arrotondamento) __________________</w:t>
      </w:r>
      <w:r w:rsidRPr="000C30A8">
        <w:rPr>
          <w:rFonts w:ascii="Calibri" w:hAnsi="Calibri" w:cs="Calibri"/>
          <w:sz w:val="18"/>
          <w:szCs w:val="18"/>
          <w:lang w:eastAsia="it-IT"/>
        </w:rPr>
        <w:t xml:space="preserve"> </w:t>
      </w:r>
    </w:p>
    <w:p w14:paraId="00B473B5" w14:textId="77777777" w:rsidR="00607B9A" w:rsidRPr="0092586F" w:rsidRDefault="00607B9A" w:rsidP="00607B9A">
      <w:pPr>
        <w:spacing w:line="240" w:lineRule="atLeast"/>
        <w:rPr>
          <w:rFonts w:ascii="Calibri" w:hAnsi="Calibri" w:cs="Calibri"/>
          <w:b/>
          <w:bCs/>
          <w:sz w:val="20"/>
          <w:szCs w:val="20"/>
          <w:lang w:eastAsia="it-IT"/>
        </w:rPr>
      </w:pPr>
      <w:r w:rsidRPr="0092586F">
        <w:rPr>
          <w:rFonts w:ascii="Calibri" w:hAnsi="Calibri" w:cs="Calibri"/>
          <w:b/>
          <w:bCs/>
          <w:sz w:val="20"/>
          <w:szCs w:val="20"/>
          <w:lang w:eastAsia="it-IT"/>
        </w:rPr>
        <w:t xml:space="preserve">(Il 30/30 lode vale 31) </w:t>
      </w:r>
    </w:p>
    <w:p w14:paraId="25C78C25" w14:textId="77777777" w:rsidR="00607B9A" w:rsidRPr="000C30A8" w:rsidRDefault="00607B9A" w:rsidP="00607B9A">
      <w:pPr>
        <w:spacing w:line="360" w:lineRule="auto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</w:p>
    <w:p w14:paraId="73583EEA" w14:textId="77777777" w:rsidR="00607B9A" w:rsidRPr="000C30A8" w:rsidRDefault="00607B9A" w:rsidP="00607B9A">
      <w:pPr>
        <w:spacing w:line="360" w:lineRule="auto"/>
        <w:rPr>
          <w:rFonts w:ascii="Calibri" w:hAnsi="Calibri" w:cs="Calibri"/>
          <w:sz w:val="18"/>
          <w:szCs w:val="18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Numero Esami Sostenuti ____________ su ___________</w:t>
      </w:r>
    </w:p>
    <w:p w14:paraId="79ED9F5C" w14:textId="77777777" w:rsidR="00B21C13" w:rsidRPr="006B1A18" w:rsidRDefault="00B21C13">
      <w:pPr>
        <w:autoSpaceDE w:val="0"/>
        <w:rPr>
          <w:rFonts w:asciiTheme="majorHAnsi" w:hAnsiTheme="majorHAnsi" w:cstheme="majorHAnsi"/>
          <w:sz w:val="18"/>
          <w:szCs w:val="18"/>
          <w:shd w:val="clear" w:color="auto" w:fill="FFFFFF"/>
          <w:lang w:eastAsia="it-IT"/>
        </w:rPr>
      </w:pPr>
    </w:p>
    <w:p w14:paraId="2C079252" w14:textId="77777777" w:rsidR="00B21C13" w:rsidRPr="006B1A18" w:rsidRDefault="00B21C13">
      <w:pPr>
        <w:autoSpaceDE w:val="0"/>
        <w:rPr>
          <w:rFonts w:asciiTheme="majorHAnsi" w:hAnsiTheme="majorHAnsi" w:cstheme="majorHAnsi"/>
          <w:kern w:val="1"/>
          <w:sz w:val="18"/>
          <w:lang w:bidi="it-IT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837"/>
        <w:gridCol w:w="6095"/>
        <w:gridCol w:w="1134"/>
      </w:tblGrid>
      <w:tr w:rsidR="00B21C13" w:rsidRPr="006B1A18" w14:paraId="7B1EBD91" w14:textId="77777777" w:rsidTr="008B59BA">
        <w:tc>
          <w:tcPr>
            <w:tcW w:w="837" w:type="dxa"/>
          </w:tcPr>
          <w:p w14:paraId="39851E0B" w14:textId="77777777" w:rsidR="00B21C13" w:rsidRPr="006B1A18" w:rsidRDefault="00B21C13" w:rsidP="00602FE4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</w:pPr>
          </w:p>
        </w:tc>
        <w:tc>
          <w:tcPr>
            <w:tcW w:w="6095" w:type="dxa"/>
          </w:tcPr>
          <w:p w14:paraId="42DE660F" w14:textId="0F938334" w:rsidR="00B21C13" w:rsidRPr="006B1A18" w:rsidRDefault="00B21C13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 xml:space="preserve">I ANNO – I SEMESTRE </w:t>
            </w:r>
          </w:p>
        </w:tc>
        <w:tc>
          <w:tcPr>
            <w:tcW w:w="1134" w:type="dxa"/>
          </w:tcPr>
          <w:p w14:paraId="68FE3406" w14:textId="18793623" w:rsidR="00B21C13" w:rsidRPr="006B1A18" w:rsidRDefault="00B21C13" w:rsidP="00602FE4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</w:pPr>
          </w:p>
        </w:tc>
      </w:tr>
      <w:tr w:rsidR="00B21C13" w:rsidRPr="006B1A18" w14:paraId="35FB84A6" w14:textId="77777777" w:rsidTr="008B59BA">
        <w:tc>
          <w:tcPr>
            <w:tcW w:w="837" w:type="dxa"/>
          </w:tcPr>
          <w:p w14:paraId="655B5963" w14:textId="77777777" w:rsidR="00B21C13" w:rsidRPr="006B1A18" w:rsidRDefault="00B21C13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</w:p>
        </w:tc>
        <w:tc>
          <w:tcPr>
            <w:tcW w:w="6095" w:type="dxa"/>
          </w:tcPr>
          <w:p w14:paraId="7C811296" w14:textId="0B38F8B1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>Scienze di sanità pubblica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 </w:t>
            </w:r>
          </w:p>
        </w:tc>
        <w:tc>
          <w:tcPr>
            <w:tcW w:w="1134" w:type="dxa"/>
          </w:tcPr>
          <w:p w14:paraId="7EB30CB5" w14:textId="7426ABDA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56D1FBB9" w14:textId="77777777" w:rsidTr="008B59BA">
        <w:tc>
          <w:tcPr>
            <w:tcW w:w="837" w:type="dxa"/>
          </w:tcPr>
          <w:p w14:paraId="0D1CA8C1" w14:textId="77777777" w:rsidR="00B21C13" w:rsidRPr="006B1A18" w:rsidRDefault="00B21C13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2</w:t>
            </w:r>
          </w:p>
        </w:tc>
        <w:tc>
          <w:tcPr>
            <w:tcW w:w="6095" w:type="dxa"/>
          </w:tcPr>
          <w:p w14:paraId="1F829C6D" w14:textId="277BBD5A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>Scienze umane, psicopedagogiche e della comunicazione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  </w:t>
            </w:r>
          </w:p>
        </w:tc>
        <w:tc>
          <w:tcPr>
            <w:tcW w:w="1134" w:type="dxa"/>
          </w:tcPr>
          <w:p w14:paraId="70B7D0CB" w14:textId="258B0A1E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2A1F3F0E" w14:textId="77777777" w:rsidTr="008B59BA">
        <w:tc>
          <w:tcPr>
            <w:tcW w:w="837" w:type="dxa"/>
          </w:tcPr>
          <w:p w14:paraId="50B2CB56" w14:textId="77777777" w:rsidR="00B21C13" w:rsidRPr="006B1A18" w:rsidRDefault="00B21C13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3</w:t>
            </w:r>
          </w:p>
        </w:tc>
        <w:tc>
          <w:tcPr>
            <w:tcW w:w="6095" w:type="dxa"/>
          </w:tcPr>
          <w:p w14:paraId="762F87FE" w14:textId="2AE33079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>Strategie di programmazione ed economia sanitaria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   </w:t>
            </w:r>
          </w:p>
        </w:tc>
        <w:tc>
          <w:tcPr>
            <w:tcW w:w="1134" w:type="dxa"/>
          </w:tcPr>
          <w:p w14:paraId="18810EBE" w14:textId="51EF67D6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76B46639" w14:textId="77777777" w:rsidTr="008B59BA">
        <w:tc>
          <w:tcPr>
            <w:tcW w:w="837" w:type="dxa"/>
          </w:tcPr>
          <w:p w14:paraId="0BC2C020" w14:textId="77777777" w:rsidR="00B21C13" w:rsidRPr="006B1A18" w:rsidRDefault="00B21C13" w:rsidP="00602FE4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6095" w:type="dxa"/>
          </w:tcPr>
          <w:p w14:paraId="49513C67" w14:textId="291D137F" w:rsidR="00B21C13" w:rsidRPr="006B1A18" w:rsidRDefault="00B21C13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 xml:space="preserve">I ANNO – II SEMESTRE </w:t>
            </w:r>
          </w:p>
        </w:tc>
        <w:tc>
          <w:tcPr>
            <w:tcW w:w="1134" w:type="dxa"/>
          </w:tcPr>
          <w:p w14:paraId="4C871EC6" w14:textId="7D1E9B34" w:rsidR="00B21C13" w:rsidRPr="006B1A18" w:rsidRDefault="00B21C13" w:rsidP="00602FE4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B21C13" w:rsidRPr="006B1A18" w14:paraId="099E633B" w14:textId="77777777" w:rsidTr="008B59BA">
        <w:tc>
          <w:tcPr>
            <w:tcW w:w="837" w:type="dxa"/>
          </w:tcPr>
          <w:p w14:paraId="01C27FD0" w14:textId="2969911D" w:rsidR="00B21C13" w:rsidRPr="006B1A18" w:rsidRDefault="006D352B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4</w:t>
            </w:r>
          </w:p>
        </w:tc>
        <w:tc>
          <w:tcPr>
            <w:tcW w:w="6095" w:type="dxa"/>
          </w:tcPr>
          <w:p w14:paraId="1DADFFA5" w14:textId="6BE21B39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Scienze giuridiche, medico-legali e deontologiche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134" w:type="dxa"/>
          </w:tcPr>
          <w:p w14:paraId="37350F72" w14:textId="3B40C431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0AF59CA4" w14:textId="77777777" w:rsidTr="008B59BA">
        <w:tc>
          <w:tcPr>
            <w:tcW w:w="837" w:type="dxa"/>
          </w:tcPr>
          <w:p w14:paraId="1C51879B" w14:textId="1C9FE6A0" w:rsidR="00B21C13" w:rsidRPr="006B1A18" w:rsidRDefault="006D352B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5</w:t>
            </w:r>
          </w:p>
        </w:tc>
        <w:tc>
          <w:tcPr>
            <w:tcW w:w="6095" w:type="dxa"/>
          </w:tcPr>
          <w:p w14:paraId="7ECC0F7C" w14:textId="6D1D28B2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Metodologia della ricerca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 </w:t>
            </w:r>
          </w:p>
        </w:tc>
        <w:tc>
          <w:tcPr>
            <w:tcW w:w="1134" w:type="dxa"/>
          </w:tcPr>
          <w:p w14:paraId="757B0181" w14:textId="4644ABAF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6BCB3A3F" w14:textId="77777777" w:rsidTr="008B59BA">
        <w:tc>
          <w:tcPr>
            <w:tcW w:w="837" w:type="dxa"/>
          </w:tcPr>
          <w:p w14:paraId="0B86ECEA" w14:textId="0A028EAC" w:rsidR="00B21C13" w:rsidRPr="006B1A18" w:rsidRDefault="006D352B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6</w:t>
            </w:r>
          </w:p>
        </w:tc>
        <w:tc>
          <w:tcPr>
            <w:tcW w:w="6095" w:type="dxa"/>
          </w:tcPr>
          <w:p w14:paraId="523B7C5D" w14:textId="176A4274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Inglese [idoneità]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134" w:type="dxa"/>
          </w:tcPr>
          <w:p w14:paraId="4F1ECDD5" w14:textId="3D269C99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194755A0" w14:textId="77777777" w:rsidTr="008B59BA">
        <w:tc>
          <w:tcPr>
            <w:tcW w:w="837" w:type="dxa"/>
          </w:tcPr>
          <w:p w14:paraId="6E8662DE" w14:textId="5F3E1EEF" w:rsidR="00B21C13" w:rsidRPr="006B1A18" w:rsidRDefault="006D352B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7</w:t>
            </w:r>
          </w:p>
        </w:tc>
        <w:tc>
          <w:tcPr>
            <w:tcW w:w="6095" w:type="dxa"/>
          </w:tcPr>
          <w:p w14:paraId="348BD2B7" w14:textId="203817C4" w:rsidR="00B21C13" w:rsidRPr="006B1A18" w:rsidRDefault="006B6EED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Attività di t</w:t>
            </w:r>
            <w:r w:rsidR="006D352B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irocinio </w:t>
            </w:r>
            <w:r w:rsidR="00953CBB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</w:t>
            </w:r>
          </w:p>
        </w:tc>
        <w:tc>
          <w:tcPr>
            <w:tcW w:w="1134" w:type="dxa"/>
          </w:tcPr>
          <w:p w14:paraId="731F77E4" w14:textId="348456E5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7E0C772B" w14:textId="77777777" w:rsidR="008B59BA" w:rsidRPr="006B1A18" w:rsidRDefault="008B59BA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876"/>
        <w:gridCol w:w="6056"/>
        <w:gridCol w:w="1134"/>
      </w:tblGrid>
      <w:tr w:rsidR="00B21C13" w:rsidRPr="006B1A18" w14:paraId="25580DE7" w14:textId="77777777" w:rsidTr="008B59BA">
        <w:tc>
          <w:tcPr>
            <w:tcW w:w="876" w:type="dxa"/>
          </w:tcPr>
          <w:p w14:paraId="56F2FB19" w14:textId="77777777" w:rsidR="00B21C13" w:rsidRPr="006B1A18" w:rsidRDefault="00B21C13" w:rsidP="00602FE4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6056" w:type="dxa"/>
          </w:tcPr>
          <w:p w14:paraId="4297DD5A" w14:textId="77777777" w:rsidR="00B21C13" w:rsidRPr="006B1A18" w:rsidRDefault="00B21C13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>II ANNO – I SEMESTRE</w:t>
            </w:r>
          </w:p>
        </w:tc>
        <w:tc>
          <w:tcPr>
            <w:tcW w:w="1134" w:type="dxa"/>
          </w:tcPr>
          <w:p w14:paraId="5713956B" w14:textId="1001B9AE" w:rsidR="00B21C13" w:rsidRPr="006B1A18" w:rsidRDefault="00B21C13" w:rsidP="00602FE4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B21C13" w:rsidRPr="006B1A18" w14:paraId="6DDFFA77" w14:textId="77777777" w:rsidTr="008B59BA">
        <w:tc>
          <w:tcPr>
            <w:tcW w:w="876" w:type="dxa"/>
          </w:tcPr>
          <w:p w14:paraId="3E1A1D33" w14:textId="3D574046" w:rsidR="00B21C13" w:rsidRPr="006B1A18" w:rsidRDefault="006D352B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8</w:t>
            </w:r>
          </w:p>
        </w:tc>
        <w:tc>
          <w:tcPr>
            <w:tcW w:w="6056" w:type="dxa"/>
          </w:tcPr>
          <w:p w14:paraId="0ADF15E8" w14:textId="443DADA2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Processi assistenziali nell’area biomedica </w:t>
            </w:r>
          </w:p>
        </w:tc>
        <w:tc>
          <w:tcPr>
            <w:tcW w:w="1134" w:type="dxa"/>
          </w:tcPr>
          <w:p w14:paraId="2B5819BC" w14:textId="00947749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4FB3922C" w14:textId="77777777" w:rsidTr="008B59BA">
        <w:tc>
          <w:tcPr>
            <w:tcW w:w="876" w:type="dxa"/>
          </w:tcPr>
          <w:p w14:paraId="449897C6" w14:textId="39F5A981" w:rsidR="00B21C13" w:rsidRPr="006B1A18" w:rsidRDefault="006D352B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9</w:t>
            </w:r>
          </w:p>
        </w:tc>
        <w:tc>
          <w:tcPr>
            <w:tcW w:w="6056" w:type="dxa"/>
          </w:tcPr>
          <w:p w14:paraId="2D035A2D" w14:textId="13B8C7D2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Processi assistenziali e metodologia infermieristica avanzata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 </w:t>
            </w:r>
          </w:p>
        </w:tc>
        <w:tc>
          <w:tcPr>
            <w:tcW w:w="1134" w:type="dxa"/>
          </w:tcPr>
          <w:p w14:paraId="74A7429E" w14:textId="4B72FFF7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21420F19" w14:textId="77777777" w:rsidTr="008B59BA">
        <w:tc>
          <w:tcPr>
            <w:tcW w:w="876" w:type="dxa"/>
          </w:tcPr>
          <w:p w14:paraId="3ED14EB4" w14:textId="77777777" w:rsidR="00B21C13" w:rsidRPr="006B1A18" w:rsidRDefault="00B21C13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</w:p>
        </w:tc>
        <w:tc>
          <w:tcPr>
            <w:tcW w:w="6056" w:type="dxa"/>
          </w:tcPr>
          <w:p w14:paraId="7EC51D03" w14:textId="77777777" w:rsidR="00B21C13" w:rsidRPr="006B1A18" w:rsidRDefault="00B21C13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II ANNO – II SEMESTRE</w:t>
            </w:r>
          </w:p>
        </w:tc>
        <w:tc>
          <w:tcPr>
            <w:tcW w:w="1134" w:type="dxa"/>
          </w:tcPr>
          <w:p w14:paraId="6AF7032F" w14:textId="2D3D01C2" w:rsidR="00B21C13" w:rsidRPr="006B1A18" w:rsidRDefault="00B21C13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</w:p>
        </w:tc>
      </w:tr>
      <w:tr w:rsidR="00B21C13" w:rsidRPr="006B1A18" w14:paraId="59F78D38" w14:textId="77777777" w:rsidTr="008B59BA">
        <w:tc>
          <w:tcPr>
            <w:tcW w:w="876" w:type="dxa"/>
          </w:tcPr>
          <w:p w14:paraId="7E49F0A5" w14:textId="2F9E9CBE" w:rsidR="00B21C13" w:rsidRPr="006B1A18" w:rsidRDefault="00454879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6D352B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0</w:t>
            </w:r>
          </w:p>
        </w:tc>
        <w:tc>
          <w:tcPr>
            <w:tcW w:w="6056" w:type="dxa"/>
          </w:tcPr>
          <w:p w14:paraId="75A1DD7A" w14:textId="2AF9820F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Processi assistenziali e modelli organizzativi/gestazionali</w:t>
            </w:r>
          </w:p>
        </w:tc>
        <w:tc>
          <w:tcPr>
            <w:tcW w:w="1134" w:type="dxa"/>
          </w:tcPr>
          <w:p w14:paraId="5DBA951E" w14:textId="7DBEDDD3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2ED478F0" w14:textId="77777777" w:rsidTr="008B59BA">
        <w:tc>
          <w:tcPr>
            <w:tcW w:w="876" w:type="dxa"/>
          </w:tcPr>
          <w:p w14:paraId="08F177B6" w14:textId="78D55B33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6D352B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</w:p>
        </w:tc>
        <w:tc>
          <w:tcPr>
            <w:tcW w:w="6056" w:type="dxa"/>
          </w:tcPr>
          <w:p w14:paraId="328A36D8" w14:textId="71DA4921" w:rsidR="00B21C13" w:rsidRPr="006B1A18" w:rsidRDefault="00454879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Processi assistenziali e modelli organizzativi in Scienze infermieristiche/</w:t>
            </w:r>
            <w:proofErr w:type="spellStart"/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Ost.Ginecol</w:t>
            </w:r>
            <w:proofErr w:type="spellEnd"/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/</w:t>
            </w:r>
            <w:proofErr w:type="spellStart"/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Ped</w:t>
            </w:r>
            <w:proofErr w:type="spellEnd"/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.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134" w:type="dxa"/>
          </w:tcPr>
          <w:p w14:paraId="7B66B902" w14:textId="650A7EEE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6B1A18" w14:paraId="0C93404B" w14:textId="77777777" w:rsidTr="008B59BA">
        <w:tc>
          <w:tcPr>
            <w:tcW w:w="876" w:type="dxa"/>
          </w:tcPr>
          <w:p w14:paraId="1BF880F0" w14:textId="12FEE1BA" w:rsidR="00B21C13" w:rsidRPr="006B1A18" w:rsidRDefault="006D352B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12</w:t>
            </w:r>
          </w:p>
        </w:tc>
        <w:tc>
          <w:tcPr>
            <w:tcW w:w="6056" w:type="dxa"/>
          </w:tcPr>
          <w:p w14:paraId="277748DC" w14:textId="3E9B117E" w:rsidR="00B21C13" w:rsidRPr="006B1A18" w:rsidRDefault="006B6EED" w:rsidP="00602FE4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Attività di t</w:t>
            </w:r>
            <w:r w:rsidR="00B21C13" w:rsidRPr="006B1A18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irocinio </w:t>
            </w:r>
            <w:r w:rsidR="00953CBB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II</w:t>
            </w:r>
          </w:p>
        </w:tc>
        <w:tc>
          <w:tcPr>
            <w:tcW w:w="1134" w:type="dxa"/>
          </w:tcPr>
          <w:p w14:paraId="2632F950" w14:textId="1BFC454F" w:rsidR="00B21C13" w:rsidRPr="006B1A18" w:rsidRDefault="008B59BA" w:rsidP="00602FE4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6B1A18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7D5EA4D8" w14:textId="77777777" w:rsidR="00953CBB" w:rsidRDefault="00B21C13">
      <w:pPr>
        <w:autoSpaceDE w:val="0"/>
        <w:spacing w:after="200" w:line="276" w:lineRule="auto"/>
        <w:rPr>
          <w:rFonts w:asciiTheme="majorHAnsi" w:hAnsiTheme="majorHAnsi" w:cstheme="majorHAnsi"/>
          <w:kern w:val="1"/>
          <w:sz w:val="18"/>
          <w:szCs w:val="22"/>
          <w:lang w:bidi="it-IT"/>
        </w:rPr>
      </w:pPr>
      <w:r w:rsidRPr="006B1A1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6B1A1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6B1A1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6B1A1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6B1A18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="00A0658C" w:rsidRPr="006B1A18">
        <w:rPr>
          <w:rFonts w:asciiTheme="majorHAnsi" w:hAnsiTheme="majorHAnsi" w:cstheme="majorHAnsi"/>
          <w:kern w:val="1"/>
          <w:sz w:val="18"/>
          <w:szCs w:val="22"/>
          <w:lang w:bidi="it-IT"/>
        </w:rPr>
        <w:t xml:space="preserve">                                   </w:t>
      </w:r>
    </w:p>
    <w:p w14:paraId="4C86DB5D" w14:textId="5B7FD047" w:rsidR="00B21C13" w:rsidRPr="006B1A18" w:rsidRDefault="00953CBB">
      <w:pPr>
        <w:autoSpaceDE w:val="0"/>
        <w:spacing w:after="200" w:line="276" w:lineRule="auto"/>
        <w:rPr>
          <w:rFonts w:asciiTheme="majorHAnsi" w:hAnsiTheme="majorHAnsi" w:cstheme="majorHAnsi"/>
          <w:kern w:val="1"/>
          <w:sz w:val="18"/>
          <w:szCs w:val="22"/>
          <w:lang w:bidi="it-IT"/>
        </w:rPr>
      </w:pPr>
      <w:r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="00B21C13" w:rsidRPr="006B1A18">
        <w:rPr>
          <w:rFonts w:asciiTheme="majorHAnsi" w:hAnsiTheme="majorHAnsi" w:cstheme="majorHAnsi"/>
          <w:kern w:val="1"/>
          <w:sz w:val="18"/>
          <w:szCs w:val="22"/>
          <w:lang w:bidi="it-IT"/>
        </w:rPr>
        <w:t xml:space="preserve">Firma studente </w:t>
      </w:r>
    </w:p>
    <w:sectPr w:rsidR="00B21C13" w:rsidRPr="006B1A18" w:rsidSect="00B21C1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C4C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E62E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AC"/>
    <w:rsid w:val="002D3A75"/>
    <w:rsid w:val="003B0D1C"/>
    <w:rsid w:val="00454879"/>
    <w:rsid w:val="00602FE4"/>
    <w:rsid w:val="00607B9A"/>
    <w:rsid w:val="006B1A18"/>
    <w:rsid w:val="006B2CC2"/>
    <w:rsid w:val="006B6EED"/>
    <w:rsid w:val="006D352B"/>
    <w:rsid w:val="008B59BA"/>
    <w:rsid w:val="008D2F85"/>
    <w:rsid w:val="0094603C"/>
    <w:rsid w:val="00953CBB"/>
    <w:rsid w:val="009D3010"/>
    <w:rsid w:val="00A0658C"/>
    <w:rsid w:val="00A3058D"/>
    <w:rsid w:val="00AB2D44"/>
    <w:rsid w:val="00B122B4"/>
    <w:rsid w:val="00B21C13"/>
    <w:rsid w:val="00B80594"/>
    <w:rsid w:val="00D67E7D"/>
    <w:rsid w:val="00EA4B50"/>
    <w:rsid w:val="00EA4C79"/>
    <w:rsid w:val="00EB2BAC"/>
    <w:rsid w:val="00F0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9748B"/>
  <w15:docId w15:val="{9CD59A11-B056-D941-A095-9B2E216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1E6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 roma</dc:creator>
  <cp:lastModifiedBy>Luana Girolami</cp:lastModifiedBy>
  <cp:revision>11</cp:revision>
  <dcterms:created xsi:type="dcterms:W3CDTF">2018-02-08T10:25:00Z</dcterms:created>
  <dcterms:modified xsi:type="dcterms:W3CDTF">2020-01-02T14:13:00Z</dcterms:modified>
</cp:coreProperties>
</file>