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1284</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M-PSI/0</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color w:val="00000a"/>
          <w:rtl w:val="0"/>
        </w:rPr>
        <w:t xml:space="preserve">“Correlati neurofisiologici del movimento durante il cammino in pazienti con lesioni neurologiche e partecipanti di controllo”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Prof.ssa Viviana Betti,</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ipologia I prot. n. </w:t>
      </w:r>
      <w:r w:rsidDel="00000000" w:rsidR="00000000" w:rsidRPr="00000000">
        <w:rPr>
          <w:rFonts w:ascii="Arial" w:cs="Arial" w:eastAsia="Arial" w:hAnsi="Arial"/>
          <w:rtl w:val="0"/>
        </w:rPr>
        <w:t xml:space="preserve">1284</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blicizzato in data </w:t>
      </w:r>
      <w:r w:rsidDel="00000000" w:rsidR="00000000" w:rsidRPr="00000000">
        <w:rPr>
          <w:rFonts w:ascii="Arial" w:cs="Arial" w:eastAsia="Arial" w:hAnsi="Arial"/>
          <w:rtl w:val="0"/>
        </w:rPr>
        <w:t xml:space="preserve">20</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06</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pageBreakBefore w:val="0"/>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