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2305</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“Longitudinal assessment of normal and pathological cognitive aging: the relationship between performances on memory tests and performances on spatial orientation and social orientation tests”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Cecilia Guariglia,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2305</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