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565</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/201</w:t>
      </w:r>
      <w:r w:rsidDel="00000000" w:rsidR="00000000" w:rsidRPr="00000000">
        <w:rPr>
          <w:b w:val="1"/>
          <w:u w:val="single"/>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......................................................................................................................nato/a a..............................prov. di...................... il.........................................................................................residente a .................................(Prov............) in Via...........................................................(Cap..................)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di essere ammesso/a a partecipare alla </w:t>
      </w:r>
      <w:r w:rsidDel="00000000" w:rsidR="00000000" w:rsidRPr="00000000">
        <w:rPr>
          <w:rFonts w:ascii="Arial" w:cs="Arial" w:eastAsia="Arial" w:hAnsi="Arial"/>
          <w:rtl w:val="0"/>
        </w:rPr>
        <w:t xml:space="preserve">procedura selettiva pubblica, per titoli e colloquio, per l'attribuzione di n. 1 assegno per lo svolgimento di attività di ricerca di categoria B) – Tipologia I della durata di 1 anno, per i settori scientifico disciplinari M-PSI/02 -Psicobiologia e Psicologia Fisiologica e FIS 07 – Fisica applicata, dal titolo </w:t>
      </w:r>
      <w:r w:rsidDel="00000000" w:rsidR="00000000" w:rsidRPr="00000000">
        <w:rPr>
          <w:rFonts w:ascii="Arial" w:cs="Arial" w:eastAsia="Arial" w:hAnsi="Arial"/>
          <w:b w:val="1"/>
          <w:rtl w:val="0"/>
        </w:rPr>
        <w:t xml:space="preserve">"Il corpo nel cervello a riposo: studi fMRI"</w:t>
      </w:r>
      <w:r w:rsidDel="00000000" w:rsidR="00000000" w:rsidRPr="00000000">
        <w:rPr>
          <w:rFonts w:ascii="Arial" w:cs="Arial" w:eastAsia="Arial" w:hAnsi="Arial"/>
          <w:rtl w:val="0"/>
        </w:rPr>
        <w:t xml:space="preserve"> responsabile scientifico Dott.ssa Viviana Betti, presso il Dipartimento di Psicologia dell’Università degli Studi di Roma “La Sapienza”,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ipologia I prot. n. </w:t>
      </w:r>
      <w:r w:rsidDel="00000000" w:rsidR="00000000" w:rsidRPr="00000000">
        <w:rPr>
          <w:rFonts w:ascii="Arial" w:cs="Arial" w:eastAsia="Arial" w:hAnsi="Arial"/>
          <w:rtl w:val="0"/>
        </w:rPr>
        <w:t xml:space="preserve">565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blicizzato in data </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D">
      <w:pPr>
        <w:widowControl w:val="0"/>
        <w:ind w:right="-6"/>
        <w:contextualSpacing w:val="0"/>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avere un grado di parentela o di affinità, fino al quarto grado compreso, o di coniugio con un professore appartenente al Dipartimento di</w:t>
      </w:r>
      <w:r w:rsidDel="00000000" w:rsidR="00000000" w:rsidRPr="00000000">
        <w:rPr>
          <w:rFonts w:ascii="Arial" w:cs="Arial" w:eastAsia="Arial" w:hAnsi="Arial"/>
          <w:rtl w:val="0"/>
        </w:rPr>
        <w:t xml:space="preserve"> Psicologia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