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861</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“Indici corporei e cerebrali di comportamenti illegali”</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 Salvatore Maria Aglioti,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II prot. n. </w:t>
      </w:r>
      <w:r w:rsidDel="00000000" w:rsidR="00000000" w:rsidRPr="00000000">
        <w:rPr>
          <w:rFonts w:ascii="Arial" w:cs="Arial" w:eastAsia="Arial" w:hAnsi="Arial"/>
          <w:rtl w:val="0"/>
        </w:rPr>
        <w:t xml:space="preserve">861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rFonts w:ascii="Arial" w:cs="Arial" w:eastAsia="Arial" w:hAnsi="Arial"/>
          <w:rtl w:val="0"/>
        </w:rPr>
        <w:t xml:space="preserve"> Psicologia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