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1259</w:t>
      </w:r>
      <w:r w:rsidDel="00000000" w:rsidR="00000000" w:rsidRPr="00000000">
        <w:rPr>
          <w:b w:val="1"/>
          <w:i w:val="0"/>
          <w:smallCaps w:val="0"/>
          <w:strike w:val="0"/>
          <w:color w:val="000000"/>
          <w:sz w:val="22"/>
          <w:szCs w:val="22"/>
          <w:u w:val="single"/>
          <w:shd w:fill="auto" w:val="clear"/>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M-PSI/06, dal titolo: </w:t>
      </w:r>
      <w:r w:rsidDel="00000000" w:rsidR="00000000" w:rsidRPr="00000000">
        <w:rPr>
          <w:color w:val="00000a"/>
          <w:sz w:val="22"/>
          <w:szCs w:val="22"/>
          <w:rtl w:val="0"/>
        </w:rPr>
        <w:t xml:space="preserve">“</w:t>
      </w:r>
      <w:r w:rsidDel="00000000" w:rsidR="00000000" w:rsidRPr="00000000">
        <w:rPr>
          <w:color w:val="00000a"/>
          <w:sz w:val="22"/>
          <w:szCs w:val="22"/>
          <w:rtl w:val="0"/>
        </w:rPr>
        <w:t xml:space="preserve">Vulnerabilità agli effetti dello stress dovuto al prolungato o eccessivo uso di tecnologie informatiche (tecno-stress) con particolare riferimento alla relazione tra information overload e procrastinazione</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 Francesco Di Nocera,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1259</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31</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07</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