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14</w:t>
      </w:r>
      <w:r w:rsidDel="00000000" w:rsidR="00000000" w:rsidRPr="00000000">
        <w:rPr>
          <w:b w:val="1"/>
          <w:sz w:val="22"/>
          <w:szCs w:val="22"/>
          <w:u w:val="single"/>
          <w:rtl w:val="0"/>
        </w:rPr>
        <w:t xml:space="preserve">4</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21</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M-PSI/01, dal titolo: </w:t>
      </w:r>
      <w:r w:rsidDel="00000000" w:rsidR="00000000" w:rsidRPr="00000000">
        <w:rPr>
          <w:color w:val="00000a"/>
          <w:sz w:val="22"/>
          <w:szCs w:val="22"/>
          <w:rtl w:val="0"/>
        </w:rPr>
        <w:t xml:space="preserve">“</w:t>
      </w:r>
      <w:r w:rsidDel="00000000" w:rsidR="00000000" w:rsidRPr="00000000">
        <w:rPr>
          <w:color w:val="222222"/>
          <w:sz w:val="22"/>
          <w:szCs w:val="22"/>
          <w:rtl w:val="0"/>
        </w:rPr>
        <w:t xml:space="preserve">Processi impliciti ed espliciti nell’apprendimento e nell’imitazione: il ruolo dell’intenzionalità</w:t>
      </w:r>
      <w:r w:rsidDel="00000000" w:rsidR="00000000" w:rsidRPr="00000000">
        <w:rPr>
          <w:color w:val="00000a"/>
          <w:sz w:val="22"/>
          <w:szCs w:val="22"/>
          <w:rtl w:val="0"/>
        </w:rPr>
        <w:t xml:space="preserve">”</w:t>
      </w:r>
      <w:r w:rsidDel="00000000" w:rsidR="00000000" w:rsidRPr="00000000">
        <w:rPr>
          <w:sz w:val="22"/>
          <w:szCs w:val="22"/>
          <w:rtl w:val="0"/>
        </w:rPr>
        <w:t xml:space="preserve">, responsabile scientifico Prof. Enrico Di Pace,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14</w:t>
      </w:r>
      <w:r w:rsidDel="00000000" w:rsidR="00000000" w:rsidRPr="00000000">
        <w:rPr>
          <w:sz w:val="22"/>
          <w:szCs w:val="22"/>
          <w:rtl w:val="0"/>
        </w:rPr>
        <w:t xml:space="preserve">4</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27</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01</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