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1566</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22</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 settori scientifico disciplinari M-PSI/02 e M-PSI/08, dal titolo: </w:t>
      </w:r>
      <w:r w:rsidDel="00000000" w:rsidR="00000000" w:rsidRPr="00000000">
        <w:rPr>
          <w:color w:val="00000a"/>
          <w:sz w:val="22"/>
          <w:szCs w:val="22"/>
          <w:rtl w:val="0"/>
        </w:rPr>
        <w:t xml:space="preserve">“</w:t>
      </w:r>
      <w:r w:rsidDel="00000000" w:rsidR="00000000" w:rsidRPr="00000000">
        <w:rPr>
          <w:sz w:val="22"/>
          <w:szCs w:val="22"/>
          <w:highlight w:val="white"/>
          <w:rtl w:val="0"/>
        </w:rPr>
        <w:t xml:space="preserve">Interocezione e correlati fisiologici viscerali delle funzioni cognitive superiori”</w:t>
      </w:r>
      <w:r w:rsidDel="00000000" w:rsidR="00000000" w:rsidRPr="00000000">
        <w:rPr>
          <w:sz w:val="22"/>
          <w:szCs w:val="22"/>
          <w:rtl w:val="0"/>
        </w:rPr>
        <w:t xml:space="preserve">, responsabile scientifico Dott.ssa Maria Serena Panasiti,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1566</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22</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27</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07</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22</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pageBreakBefore w:val="0"/>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