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1</w:t>
      </w:r>
      <w:r w:rsidDel="00000000" w:rsidR="00000000" w:rsidRPr="00000000">
        <w:rPr>
          <w:b w:val="1"/>
          <w:sz w:val="22"/>
          <w:szCs w:val="22"/>
          <w:u w:val="single"/>
          <w:rtl w:val="0"/>
        </w:rPr>
        <w:t xml:space="preserve">956</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20</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sz w:val="22"/>
          <w:szCs w:val="22"/>
          <w:rtl w:val="0"/>
        </w:rPr>
        <w:t xml:space="preserve">Basi funzionali e neurali della associazione tra codifica delle grandezze numeriche e codifica dello spazio: misure comportamentali, elettrofisiologiche ed fMRI</w:t>
      </w:r>
      <w:r w:rsidDel="00000000" w:rsidR="00000000" w:rsidRPr="00000000">
        <w:rPr>
          <w:color w:val="00000a"/>
          <w:sz w:val="22"/>
          <w:szCs w:val="22"/>
          <w:rtl w:val="0"/>
        </w:rPr>
        <w:t xml:space="preserve">”</w:t>
      </w:r>
      <w:r w:rsidDel="00000000" w:rsidR="00000000" w:rsidRPr="00000000">
        <w:rPr>
          <w:sz w:val="22"/>
          <w:szCs w:val="22"/>
          <w:rtl w:val="0"/>
        </w:rPr>
        <w:t xml:space="preserve">, responsabile scientifico Prof. Fabrizio Doricchi,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1</w:t>
      </w:r>
      <w:r w:rsidDel="00000000" w:rsidR="00000000" w:rsidRPr="00000000">
        <w:rPr>
          <w:sz w:val="22"/>
          <w:szCs w:val="22"/>
          <w:rtl w:val="0"/>
        </w:rPr>
        <w:t xml:space="preserve">956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11</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20</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