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1958</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22</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M-PSI/01, dal titolo: </w:t>
      </w:r>
      <w:r w:rsidDel="00000000" w:rsidR="00000000" w:rsidRPr="00000000">
        <w:rPr>
          <w:color w:val="00000a"/>
          <w:sz w:val="22"/>
          <w:szCs w:val="22"/>
          <w:rtl w:val="0"/>
        </w:rPr>
        <w:t xml:space="preserve">“Childhood Risk Factors and Young Adult Competence”</w:t>
      </w:r>
      <w:r w:rsidDel="00000000" w:rsidR="00000000" w:rsidRPr="00000000">
        <w:rPr>
          <w:sz w:val="22"/>
          <w:szCs w:val="22"/>
          <w:rtl w:val="0"/>
        </w:rPr>
        <w:t xml:space="preserve">, responsabile scientifico Prof.ssa Concetta Pastorelli,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1958</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22</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09</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22</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pageBreakBefore w:val="0"/>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