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 PROT. N. </w:t>
      </w:r>
      <w:r w:rsidDel="00000000" w:rsidR="00000000" w:rsidRPr="00000000">
        <w:rPr>
          <w:b w:val="1"/>
          <w:sz w:val="22"/>
          <w:szCs w:val="22"/>
          <w:u w:val="single"/>
          <w:rtl w:val="0"/>
        </w:rPr>
        <w:t xml:space="preserve">2261</w:t>
      </w:r>
      <w:r w:rsidDel="00000000" w:rsidR="00000000" w:rsidRPr="00000000">
        <w:rPr>
          <w:b w:val="1"/>
          <w:i w:val="0"/>
          <w:smallCaps w:val="0"/>
          <w:strike w:val="0"/>
          <w:color w:val="000000"/>
          <w:sz w:val="22"/>
          <w:szCs w:val="22"/>
          <w:u w:val="single"/>
          <w:shd w:fill="auto" w:val="clear"/>
          <w:vertAlign w:val="baseline"/>
          <w:rtl w:val="0"/>
        </w:rPr>
        <w:t xml:space="preserve">/201</w:t>
      </w:r>
      <w:r w:rsidDel="00000000" w:rsidR="00000000" w:rsidRPr="00000000">
        <w:rPr>
          <w:b w:val="1"/>
          <w:sz w:val="22"/>
          <w:szCs w:val="22"/>
          <w:u w:val="single"/>
          <w:rtl w:val="0"/>
        </w:rPr>
        <w:t xml:space="preserve">9</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color w:val="00000a"/>
          <w:sz w:val="22"/>
          <w:szCs w:val="22"/>
          <w:rtl w:val="0"/>
        </w:rPr>
        <w:t xml:space="preserve">procedura selettiva pubblica, per titoli e colloquio, per l'attribuzione di n. 1 assegno per lo svolgimento di attività di ricerca di categoria B) – Tipologia I della durata di 1 anno, per il </w:t>
      </w:r>
      <w:r w:rsidDel="00000000" w:rsidR="00000000" w:rsidRPr="00000000">
        <w:rPr>
          <w:color w:val="00000a"/>
          <w:sz w:val="22"/>
          <w:szCs w:val="22"/>
          <w:rtl w:val="0"/>
        </w:rPr>
        <w:t xml:space="preserve">settore concorsuale 11/E1 settore scientifico disciplinare M-PSI/02</w:t>
      </w:r>
      <w:r w:rsidDel="00000000" w:rsidR="00000000" w:rsidRPr="00000000">
        <w:rPr>
          <w:color w:val="00000a"/>
          <w:sz w:val="22"/>
          <w:szCs w:val="22"/>
          <w:rtl w:val="0"/>
        </w:rPr>
        <w:t xml:space="preserve">, dal titolo “Interocezione e correlati fisiologici viscerali della consapevolezza corporea e morale”, responsabile scientifico Prof. Salvatore Maria Aglioti,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ipologia I prot. n. </w:t>
      </w:r>
      <w:r w:rsidDel="00000000" w:rsidR="00000000" w:rsidRPr="00000000">
        <w:rPr>
          <w:sz w:val="22"/>
          <w:szCs w:val="22"/>
          <w:rtl w:val="0"/>
        </w:rPr>
        <w:t xml:space="preserve">2261</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shd w:fill="auto" w:val="clear"/>
          <w:vertAlign w:val="baseline"/>
          <w:rtl w:val="0"/>
        </w:rPr>
        <w:t xml:space="preserve">blicizzato in data 0</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sz w:val="22"/>
          <w:szCs w:val="22"/>
          <w:rtl w:val="0"/>
        </w:rPr>
        <w:t xml:space="preserve">12</w:t>
      </w:r>
      <w:r w:rsidDel="00000000" w:rsidR="00000000" w:rsidRPr="00000000">
        <w:rPr>
          <w:i w:val="0"/>
          <w:smallCaps w:val="0"/>
          <w:strike w:val="0"/>
          <w:color w:val="000000"/>
          <w:sz w:val="22"/>
          <w:szCs w:val="22"/>
          <w:u w:val="none"/>
          <w:shd w:fill="auto" w:val="clear"/>
          <w:vertAlign w:val="baseline"/>
          <w:rtl w:val="0"/>
        </w:rPr>
        <w:t xml:space="preserve">/201</w:t>
      </w: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parentela o di affinità, fino al quarto grado compreso, </w:t>
      </w:r>
      <w:r w:rsidDel="00000000" w:rsidR="00000000" w:rsidRPr="00000000">
        <w:rPr>
          <w:color w:val="00000a"/>
          <w:sz w:val="22"/>
          <w:szCs w:val="22"/>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