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191314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191314" w:rsidRPr="00191314">
        <w:rPr>
          <w:rFonts w:ascii="Bell MT" w:hAnsi="Bell MT" w:cs="Calibri"/>
          <w:b/>
          <w:sz w:val="24"/>
          <w:szCs w:val="24"/>
        </w:rPr>
        <w:t>1</w:t>
      </w:r>
      <w:r w:rsidR="00DD4EF4">
        <w:rPr>
          <w:rFonts w:ascii="Bell MT" w:hAnsi="Bell MT" w:cs="Calibri"/>
          <w:b/>
          <w:sz w:val="24"/>
          <w:szCs w:val="24"/>
        </w:rPr>
        <w:t>6</w:t>
      </w:r>
      <w:bookmarkStart w:id="0" w:name="_GoBack"/>
      <w:bookmarkEnd w:id="0"/>
      <w:r w:rsidRPr="00191314">
        <w:rPr>
          <w:rFonts w:ascii="Bell MT" w:hAnsi="Bell MT" w:cs="Calibri"/>
          <w:b/>
          <w:sz w:val="24"/>
          <w:szCs w:val="24"/>
        </w:rPr>
        <w:t xml:space="preserve"> del </w:t>
      </w:r>
      <w:r w:rsidR="00DD4EF4">
        <w:rPr>
          <w:rFonts w:ascii="Bell MT" w:hAnsi="Bell MT" w:cs="Calibri"/>
          <w:b/>
          <w:sz w:val="24"/>
          <w:szCs w:val="24"/>
        </w:rPr>
        <w:t>2 maggio</w:t>
      </w:r>
      <w:r w:rsidRPr="00191314">
        <w:rPr>
          <w:rFonts w:ascii="Bell MT" w:hAnsi="Bell MT" w:cs="Calibri"/>
          <w:b/>
          <w:sz w:val="24"/>
          <w:szCs w:val="24"/>
        </w:rPr>
        <w:t xml:space="preserve"> 2018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</w:t>
      </w:r>
      <w:r w:rsidRPr="00342215">
        <w:rPr>
          <w:rFonts w:ascii="Bell MT" w:hAnsi="Bell MT" w:cs="Calibri"/>
          <w:sz w:val="24"/>
          <w:szCs w:val="24"/>
        </w:rPr>
        <w:lastRenderedPageBreak/>
        <w:t>personali), dichiara di essere a conoscenza che i propri dati saranno trattati dall’Università per 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191314"/>
    <w:rsid w:val="00342215"/>
    <w:rsid w:val="003C739F"/>
    <w:rsid w:val="004A16A5"/>
    <w:rsid w:val="00DA6B44"/>
    <w:rsid w:val="00D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5</cp:revision>
  <dcterms:created xsi:type="dcterms:W3CDTF">2018-02-15T10:15:00Z</dcterms:created>
  <dcterms:modified xsi:type="dcterms:W3CDTF">2018-05-02T08:51:00Z</dcterms:modified>
</cp:coreProperties>
</file>